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minerals_volume_audit_what_s_mine_5a13a7"/>
      <w:r>
        <w:rPr>
          <w:rFonts w:eastAsia="georgia" w:cs="georgia" w:ascii="georgia" w:hAnsi="georgia"/>
          <w:b/>
          <w:color w:val="000000"/>
          <w:sz w:val="39"/>
        </w:rPr>
        <w:t xml:space="preserve">Minerals Volume Audit — What's Mined, What's Built, Where It Actually Goes</w:t>
      </w:r>
      <w:bookmarkEnd w:id="0"/>
    </w:p>
    <w:p>
      <w:pPr>
        <w:spacing w:line="360" w:after="210" w:lineRule="auto"/>
      </w:pPr>
      <w:r>
        <w:rPr>
          <w:rFonts w:eastAsia="georgia" w:cs="georgia" w:ascii="georgia" w:hAnsi="georgia"/>
          <w:b/>
          <w:color w:val="000000"/>
        </w:rPr>
        <w:t xml:space="preserve">One question: when JPMorgan and the European Commission say they need critical minerals "for the energy transition" — does the volume of actual solar/wind/EV manufacturing in 2024 anywhere near match the volume being extracted, or is most of that mineral going somewhere else entirely?</w:t>
      </w:r>
    </w:p>
    <w:p>
      <w:pPr>
        <w:spacing w:line="360" w:after="210" w:lineRule="auto"/>
      </w:pPr>
      <w:r>
        <w:rPr>
          <w:rFonts w:eastAsia="georgia" w:cs="georgia" w:ascii="georgia" w:hAnsi="georgia"/>
          <w:color w:val="000000"/>
        </w:rPr>
        <w:t xml:space="preserve">All world-production numbers below are from </w:t>
      </w:r>
      <w:hyperlink r:id="rId5">
        <w:r>
          <w:rPr>
            <w:rFonts w:eastAsia="helvetica neue" w:cs="helvetica neue" w:ascii="helvetica neue" w:hAnsi="helvetica neue"/>
            <w:color w:val="#000"/>
            <w:u w:val="single"/>
          </w:rPr>
          <w:t xml:space="preserve">USGS Mineral Commodity Summaries 2025</w:t>
        </w:r>
      </w:hyperlink>
      <w:r>
        <w:rPr>
          <w:rFonts w:eastAsia="georgia" w:cs="georgia" w:ascii="georgia" w:hAnsi="georgia"/>
          <w:color w:val="000000"/>
        </w:rPr>
        <w:t xml:space="preserve"> (data year 2024). Deployment numbers: </w:t>
      </w:r>
      <w:hyperlink r:id="rId6">
        <w:r>
          <w:rPr>
            <w:rFonts w:eastAsia="helvetica neue" w:cs="helvetica neue" w:ascii="helvetica neue" w:hAnsi="helvetica neue"/>
            <w:color w:val="#000"/>
            <w:u w:val="single"/>
          </w:rPr>
          <w:t xml:space="preserve">IRENA Renewable Capacity Statistics 2025</w:t>
        </w:r>
      </w:hyperlink>
      <w:r>
        <w:rPr>
          <w:rFonts w:eastAsia="georgia" w:cs="georgia" w:ascii="georgia" w:hAnsi="georgia"/>
          <w:color w:val="000000"/>
        </w:rPr>
        <w:t xml:space="preserve"> (452 GW solar PV added in 2024), </w:t>
      </w:r>
      <w:hyperlink r:id="rId7">
        <w:r>
          <w:rPr>
            <w:rFonts w:eastAsia="helvetica neue" w:cs="helvetica neue" w:ascii="helvetica neue" w:hAnsi="helvetica neue"/>
            <w:color w:val="#000"/>
            <w:u w:val="single"/>
          </w:rPr>
          <w:t xml:space="preserve">GWEC Global Wind Report 2025</w:t>
        </w:r>
      </w:hyperlink>
      <w:r>
        <w:rPr>
          <w:rFonts w:eastAsia="georgia" w:cs="georgia" w:ascii="georgia" w:hAnsi="georgia"/>
          <w:color w:val="000000"/>
        </w:rPr>
        <w:t xml:space="preserve"> (117 GW wind added), and IEA/BNEF (~17 million EVs sold). Per-unit mineral intensities are from </w:t>
      </w:r>
      <w:hyperlink r:id="rId8">
        <w:r>
          <w:rPr>
            <w:rFonts w:eastAsia="helvetica neue" w:cs="helvetica neue" w:ascii="helvetica neue" w:hAnsi="helvetica neue"/>
            <w:color w:val="#000"/>
            <w:u w:val="single"/>
          </w:rPr>
          <w:t xml:space="preserve">IEA, The Role of Critical Minerals in Clean Energy Transitions, 2021</w:t>
        </w:r>
      </w:hyperlink>
      <w:r>
        <w:rPr>
          <w:rFonts w:eastAsia="georgia" w:cs="georgia" w:ascii="georgia" w:hAnsi="georgia"/>
          <w:color w:val="000000"/>
        </w:rPr>
        <w:t xml:space="preserve">. All maths shown.</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 w:name="the_headline_numbers_2024_mine_pr_51506a"/>
      <w:r>
        <w:rPr>
          <w:rFonts w:eastAsia="georgia" w:cs="georgia" w:ascii="georgia" w:hAnsi="georgia"/>
          <w:b/>
          <w:color w:val="000000"/>
          <w:sz w:val="24"/>
        </w:rPr>
        <w:t xml:space="preserve">The headline numbers (2024 mine production, USGS)</w:t>
      </w:r>
      <w:bookmarkEnd w:id="1"/>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4755"/>
        <w:gridCol w:w="4755"/>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Mineral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World mine production 2024</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Copper</w:t>
            </w:r>
          </w:p>
        </w:tc>
        <w:tc>
          <w:tcPr>
            <w:tcBorders>
              <w:top w:val="single" w:sz="1" w:space="0" w:color="000000"/>
              <w:bottom w:val="single" w:sz="1" w:space="0" w:color="000000"/>
            </w:tcBorders>
          </w:tcPr>
          <w:p>
            <w:pPr>
              <w:spacing w:line="360" w:lineRule="auto"/>
            </w:pPr>
            <w:r>
              <w:rPr>
                <w:rFonts w:eastAsia="georgia" w:cs="georgia" w:ascii="georgia" w:hAnsi="georgia"/>
                <w:b/>
                <w:color w:val="000000"/>
                <w:sz w:val="17"/>
              </w:rPr>
              <w:t xml:space="preserve">23,000,000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Silicon metal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4,600,000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Nickel</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3,700,000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Phosphate rock</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~240,000,000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Rare-earth oxides (REO)</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390,000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Cobalt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290,000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Lithium (Li content)</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240,000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Antimony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100,000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Tungsten</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81,000 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Gallium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760 t (low-purity); 320 t high-purity refined</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Germanium</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~170 t</w:t>
            </w:r>
          </w:p>
        </w:tc>
      </w:tr>
    </w:tbl>
    <w:p>
      <w:pPr>
        <w:spacing w:lineRule="auto"/>
      </w:pPr>
    </w:p>
    <w:p>
      <w:pPr>
        <w:spacing w:line="360" w:before="315" w:after="105" w:lineRule="auto"/>
        <w:ind w:left="-30"/>
        <w:jc w:val="left"/>
      </w:pPr>
      <w:bookmarkStart w:id="2" w:name="the_headline_numbers_2024_deployment"/>
      <w:r>
        <w:rPr>
          <w:rFonts w:eastAsia="georgia" w:cs="georgia" w:ascii="georgia" w:hAnsi="georgia"/>
          <w:b/>
          <w:color w:val="000000"/>
          <w:sz w:val="24"/>
        </w:rPr>
        <w:t xml:space="preserve">The headline numbers (2024 deployment)</w:t>
      </w:r>
      <w:bookmarkEnd w:id="2"/>
    </w:p>
    <w:p>
      <w:pPr>
        <w:numPr>
          <w:ilvl w:val="0"/>
          <w:numId w:val="1"/>
        </w:numPr>
        <w:spacing w:line="360" w:before="105" w:after="105" w:lineRule="auto"/>
      </w:pPr>
      <w:r>
        <w:rPr>
          <w:rFonts w:eastAsia="georgia" w:cs="georgia" w:ascii="georgia" w:hAnsi="georgia"/>
          <w:color w:val="000000"/>
          <w:sz w:val="21"/>
        </w:rPr>
        <w:t xml:space="preserve">Solar PV added globally: </w:t>
      </w:r>
      <w:r>
        <w:rPr>
          <w:rFonts w:eastAsia="georgia" w:cs="georgia" w:ascii="georgia" w:hAnsi="georgia"/>
          <w:b/>
          <w:color w:val="000000"/>
          <w:sz w:val="21"/>
        </w:rPr>
        <w:t xml:space="preserve">452 GW</w:t>
      </w:r>
      <w:r>
        <w:rPr>
          <w:rFonts w:eastAsia="georgia" w:cs="georgia" w:ascii="georgia" w:hAnsi="georgia"/>
          <w:color w:val="000000"/>
          <w:sz w:val="21"/>
        </w:rPr>
        <w:t xml:space="preserve"> (</w:t>
      </w:r>
      <w:hyperlink r:id="rId9">
        <w:r>
          <w:rPr>
            <w:rFonts w:eastAsia="helvetica neue" w:cs="helvetica neue" w:ascii="helvetica neue" w:hAnsi="helvetica neue"/>
            <w:color w:val="#000"/>
            <w:sz w:val="21"/>
            <w:u w:val="single"/>
          </w:rPr>
          <w:t xml:space="preserve">IRENA</w:t>
        </w:r>
      </w:hyperlink>
      <w:r>
        <w:rPr>
          <w:rFonts w:eastAsia="georgia" w:cs="georgia" w:ascii="georgia" w:hAnsi="georgia"/>
          <w:color w:val="000000"/>
          <w:sz w:val="21"/>
        </w:rPr>
        <w:t xml:space="preserve">)</w:t>
      </w:r>
    </w:p>
    <w:p>
      <w:pPr>
        <w:numPr>
          <w:ilvl w:val="0"/>
          <w:numId w:val="1"/>
        </w:numPr>
        <w:spacing w:line="360" w:before="105" w:after="105" w:lineRule="auto"/>
      </w:pPr>
      <w:r>
        <w:rPr>
          <w:rFonts w:eastAsia="georgia" w:cs="georgia" w:ascii="georgia" w:hAnsi="georgia"/>
          <w:color w:val="000000"/>
          <w:sz w:val="21"/>
        </w:rPr>
        <w:t xml:space="preserve">Wind added globally: </w:t>
      </w:r>
      <w:r>
        <w:rPr>
          <w:rFonts w:eastAsia="georgia" w:cs="georgia" w:ascii="georgia" w:hAnsi="georgia"/>
          <w:b/>
          <w:color w:val="000000"/>
          <w:sz w:val="21"/>
        </w:rPr>
        <w:t xml:space="preserve">117 GW</w:t>
      </w:r>
      <w:r>
        <w:rPr>
          <w:rFonts w:eastAsia="georgia" w:cs="georgia" w:ascii="georgia" w:hAnsi="georgia"/>
          <w:color w:val="000000"/>
          <w:sz w:val="21"/>
        </w:rPr>
        <w:t xml:space="preserve"> (109 onshore + 8 offshore — </w:t>
      </w:r>
      <w:hyperlink r:id="rId10">
        <w:r>
          <w:rPr>
            <w:rFonts w:eastAsia="helvetica neue" w:cs="helvetica neue" w:ascii="helvetica neue" w:hAnsi="helvetica neue"/>
            <w:color w:val="#000"/>
            <w:sz w:val="21"/>
            <w:u w:val="single"/>
          </w:rPr>
          <w:t xml:space="preserve">GWEC</w:t>
        </w:r>
      </w:hyperlink>
      <w:r>
        <w:rPr>
          <w:rFonts w:eastAsia="georgia" w:cs="georgia" w:ascii="georgia" w:hAnsi="georgia"/>
          <w:color w:val="000000"/>
          <w:sz w:val="21"/>
        </w:rPr>
        <w:t xml:space="preserve">)</w:t>
      </w:r>
    </w:p>
    <w:p>
      <w:pPr>
        <w:numPr>
          <w:ilvl w:val="0"/>
          <w:numId w:val="1"/>
        </w:numPr>
        <w:spacing w:line="360" w:before="105" w:after="105" w:lineRule="auto"/>
      </w:pPr>
      <w:r>
        <w:rPr>
          <w:rFonts w:eastAsia="georgia" w:cs="georgia" w:ascii="georgia" w:hAnsi="georgia"/>
          <w:color w:val="000000"/>
          <w:sz w:val="21"/>
        </w:rPr>
        <w:t xml:space="preserve">Electric vehicles sold globally: </w:t>
      </w:r>
      <w:r>
        <w:rPr>
          <w:rFonts w:eastAsia="georgia" w:cs="georgia" w:ascii="georgia" w:hAnsi="georgia"/>
          <w:b/>
          <w:color w:val="000000"/>
          <w:sz w:val="21"/>
        </w:rPr>
        <w:t xml:space="preserve">~17 million</w:t>
      </w:r>
      <w:r>
        <w:rPr>
          <w:rFonts w:eastAsia="georgia" w:cs="georgia" w:ascii="georgia" w:hAnsi="georgia"/>
          <w:color w:val="000000"/>
          <w:sz w:val="21"/>
        </w:rPr>
        <w:t xml:space="preserve"> (IEA Global EV Outlook 2025)</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3" w:name="copper_the_one_mineral_everyone_f_95c15f"/>
      <w:r>
        <w:rPr>
          <w:rFonts w:eastAsia="georgia" w:cs="georgia" w:ascii="georgia" w:hAnsi="georgia"/>
          <w:b/>
          <w:color w:val="000000"/>
          <w:sz w:val="24"/>
        </w:rPr>
        <w:t xml:space="preserve">Copper — the one mineral everyone fights about</w:t>
      </w:r>
      <w:bookmarkEnd w:id="3"/>
    </w:p>
    <w:p>
      <w:pPr>
        <w:spacing w:line="360" w:after="210" w:lineRule="auto"/>
      </w:pPr>
      <w:r>
        <w:rPr>
          <w:rFonts w:eastAsia="georgia" w:cs="georgia" w:ascii="georgia" w:hAnsi="georgia"/>
          <w:color w:val="000000"/>
        </w:rPr>
        <w:t xml:space="preserve">USGS says world copper mine production in 2024 was </w:t>
      </w:r>
      <w:r>
        <w:rPr>
          <w:rFonts w:eastAsia="georgia" w:cs="georgia" w:ascii="georgia" w:hAnsi="georgia"/>
          <w:b/>
          <w:color w:val="000000"/>
        </w:rPr>
        <w:t xml:space="preserve">23.0 million tonnes</w:t>
      </w:r>
      <w:r>
        <w:rPr>
          <w:rFonts w:eastAsia="georgia" w:cs="georgia" w:ascii="georgia" w:hAnsi="georgia"/>
          <w:color w:val="000000"/>
        </w:rPr>
        <w:t xml:space="preserve">. The end-use breakdown (</w:t>
      </w:r>
      <w:hyperlink r:id="rId11">
        <w:r>
          <w:rPr>
            <w:rFonts w:eastAsia="helvetica neue" w:cs="helvetica neue" w:ascii="helvetica neue" w:hAnsi="helvetica neue"/>
            <w:color w:val="#000"/>
            <w:u w:val="single"/>
          </w:rPr>
          <w:t xml:space="preserve">USGS</w:t>
        </w:r>
      </w:hyperlink>
      <w:r>
        <w:rPr>
          <w:rFonts w:eastAsia="georgia" w:cs="georgia" w:ascii="georgia" w:hAnsi="georgia"/>
          <w:color w:val="000000"/>
        </w:rPr>
        <w:t xml:space="preserve">):</w:t>
      </w:r>
    </w:p>
    <w:p>
      <w:pPr>
        <w:numPr>
          <w:ilvl w:val="0"/>
          <w:numId w:val="2"/>
        </w:numPr>
        <w:spacing w:line="360" w:before="105" w:after="105" w:lineRule="auto"/>
      </w:pPr>
      <w:r>
        <w:rPr>
          <w:rFonts w:eastAsia="georgia" w:cs="georgia" w:ascii="georgia" w:hAnsi="georgia"/>
          <w:color w:val="000000"/>
          <w:sz w:val="21"/>
        </w:rPr>
        <w:t xml:space="preserve">Building construction — 42%</w:t>
      </w:r>
    </w:p>
    <w:p>
      <w:pPr>
        <w:numPr>
          <w:ilvl w:val="0"/>
          <w:numId w:val="2"/>
        </w:numPr>
        <w:spacing w:line="360" w:before="105" w:after="105" w:lineRule="auto"/>
      </w:pPr>
      <w:r>
        <w:rPr>
          <w:rFonts w:eastAsia="georgia" w:cs="georgia" w:ascii="georgia" w:hAnsi="georgia"/>
          <w:color w:val="000000"/>
          <w:sz w:val="21"/>
        </w:rPr>
        <w:t xml:space="preserve">Electrical and electronic products — 23%</w:t>
      </w:r>
    </w:p>
    <w:p>
      <w:pPr>
        <w:numPr>
          <w:ilvl w:val="0"/>
          <w:numId w:val="2"/>
        </w:numPr>
        <w:spacing w:line="360" w:before="105" w:after="105" w:lineRule="auto"/>
      </w:pPr>
      <w:r>
        <w:rPr>
          <w:rFonts w:eastAsia="georgia" w:cs="georgia" w:ascii="georgia" w:hAnsi="georgia"/>
          <w:color w:val="000000"/>
          <w:sz w:val="21"/>
        </w:rPr>
        <w:t xml:space="preserve">Transportation equipment — 18%</w:t>
      </w:r>
    </w:p>
    <w:p>
      <w:pPr>
        <w:numPr>
          <w:ilvl w:val="0"/>
          <w:numId w:val="2"/>
        </w:numPr>
        <w:spacing w:line="360" w:before="105" w:after="105" w:lineRule="auto"/>
      </w:pPr>
      <w:r>
        <w:rPr>
          <w:rFonts w:eastAsia="georgia" w:cs="georgia" w:ascii="georgia" w:hAnsi="georgia"/>
          <w:color w:val="000000"/>
          <w:sz w:val="21"/>
        </w:rPr>
        <w:t xml:space="preserve">Consumer products — 10%</w:t>
      </w:r>
    </w:p>
    <w:p>
      <w:pPr>
        <w:numPr>
          <w:ilvl w:val="0"/>
          <w:numId w:val="2"/>
        </w:numPr>
        <w:spacing w:line="360" w:before="105" w:after="105" w:lineRule="auto"/>
      </w:pPr>
      <w:r>
        <w:rPr>
          <w:rFonts w:eastAsia="georgia" w:cs="georgia" w:ascii="georgia" w:hAnsi="georgia"/>
          <w:color w:val="000000"/>
          <w:sz w:val="21"/>
        </w:rPr>
        <w:t xml:space="preserve">Industrial machinery — 7%</w:t>
      </w:r>
    </w:p>
    <w:p>
      <w:pPr>
        <w:spacing w:line="360" w:after="210" w:lineRule="auto"/>
      </w:pPr>
      <w:r>
        <w:rPr>
          <w:rFonts w:eastAsia="georgia" w:cs="georgia" w:ascii="georgia" w:hAnsi="georgia"/>
          <w:color w:val="000000"/>
        </w:rPr>
        <w:t xml:space="preserve">How much copper does the entire 2024 "clean-tech" build actually consume? Using IEA intensities (</w:t>
      </w:r>
      <w:hyperlink r:id="rId12">
        <w:r>
          <w:rPr>
            <w:rFonts w:eastAsia="helvetica neue" w:cs="helvetica neue" w:ascii="helvetica neue" w:hAnsi="helvetica neue"/>
            <w:color w:val="#000"/>
            <w:u w:val="single"/>
          </w:rPr>
          <w:t xml:space="preserve">IEA CMET 2021</w:t>
        </w:r>
      </w:hyperlink>
      <w:r>
        <w:rPr>
          <w:rFonts w:eastAsia="georgia" w:cs="georgia" w:ascii="georgia" w:hAnsi="georgia"/>
          <w:color w:val="000000"/>
        </w:rPr>
        <w:t xml:space="preserve">):</w:t>
      </w:r>
    </w:p>
    <w:p>
      <w:pPr>
        <w:numPr>
          <w:ilvl w:val="0"/>
          <w:numId w:val="3"/>
        </w:numPr>
        <w:spacing w:line="360" w:before="105" w:after="105" w:lineRule="auto"/>
      </w:pPr>
      <w:r>
        <w:rPr>
          <w:rFonts w:eastAsia="georgia" w:cs="georgia" w:ascii="georgia" w:hAnsi="georgia"/>
          <w:color w:val="000000"/>
          <w:sz w:val="21"/>
        </w:rPr>
        <w:t xml:space="preserve">Solar PV: 452 GW × 2,822 kg Cu/MW = </w:t>
      </w:r>
      <w:r>
        <w:rPr>
          <w:rFonts w:eastAsia="georgia" w:cs="georgia" w:ascii="georgia" w:hAnsi="georgia"/>
          <w:b/>
          <w:color w:val="000000"/>
          <w:sz w:val="21"/>
        </w:rPr>
        <w:t xml:space="preserve">1.28 Mt</w:t>
      </w:r>
      <w:r>
        <w:rPr>
          <w:rFonts w:eastAsia="georgia" w:cs="georgia" w:ascii="georgia" w:hAnsi="georgia"/>
          <w:color w:val="000000"/>
          <w:sz w:val="21"/>
        </w:rPr>
        <w:t xml:space="preserve"> → </w:t>
      </w:r>
      <w:r>
        <w:rPr>
          <w:rFonts w:eastAsia="georgia" w:cs="georgia" w:ascii="georgia" w:hAnsi="georgia"/>
          <w:b/>
          <w:color w:val="000000"/>
          <w:sz w:val="21"/>
        </w:rPr>
        <w:t xml:space="preserve">5.55%</w:t>
      </w:r>
      <w:r>
        <w:rPr>
          <w:rFonts w:eastAsia="georgia" w:cs="georgia" w:ascii="georgia" w:hAnsi="georgia"/>
          <w:color w:val="000000"/>
          <w:sz w:val="21"/>
        </w:rPr>
        <w:t xml:space="preserve"> of world Cu</w:t>
      </w:r>
    </w:p>
    <w:p>
      <w:pPr>
        <w:numPr>
          <w:ilvl w:val="0"/>
          <w:numId w:val="3"/>
        </w:numPr>
        <w:spacing w:line="360" w:before="105" w:after="105" w:lineRule="auto"/>
      </w:pPr>
      <w:r>
        <w:rPr>
          <w:rFonts w:eastAsia="georgia" w:cs="georgia" w:ascii="georgia" w:hAnsi="georgia"/>
          <w:color w:val="000000"/>
          <w:sz w:val="21"/>
        </w:rPr>
        <w:t xml:space="preserve">Onshore wind: 109 GW × 2,900 kg/MW = </w:t>
      </w:r>
      <w:r>
        <w:rPr>
          <w:rFonts w:eastAsia="georgia" w:cs="georgia" w:ascii="georgia" w:hAnsi="georgia"/>
          <w:b/>
          <w:color w:val="000000"/>
          <w:sz w:val="21"/>
        </w:rPr>
        <w:t xml:space="preserve">0.32 Mt</w:t>
      </w:r>
      <w:r>
        <w:rPr>
          <w:rFonts w:eastAsia="georgia" w:cs="georgia" w:ascii="georgia" w:hAnsi="georgia"/>
          <w:color w:val="000000"/>
          <w:sz w:val="21"/>
        </w:rPr>
        <w:t xml:space="preserve"> → 1.37%</w:t>
      </w:r>
    </w:p>
    <w:p>
      <w:pPr>
        <w:numPr>
          <w:ilvl w:val="0"/>
          <w:numId w:val="3"/>
        </w:numPr>
        <w:spacing w:line="360" w:before="105" w:after="105" w:lineRule="auto"/>
      </w:pPr>
      <w:r>
        <w:rPr>
          <w:rFonts w:eastAsia="georgia" w:cs="georgia" w:ascii="georgia" w:hAnsi="georgia"/>
          <w:color w:val="000000"/>
          <w:sz w:val="21"/>
        </w:rPr>
        <w:t xml:space="preserve">Offshore wind: 8 GW × 8,000 kg/MW = </w:t>
      </w:r>
      <w:r>
        <w:rPr>
          <w:rFonts w:eastAsia="georgia" w:cs="georgia" w:ascii="georgia" w:hAnsi="georgia"/>
          <w:b/>
          <w:color w:val="000000"/>
          <w:sz w:val="21"/>
        </w:rPr>
        <w:t xml:space="preserve">0.06 Mt</w:t>
      </w:r>
      <w:r>
        <w:rPr>
          <w:rFonts w:eastAsia="georgia" w:cs="georgia" w:ascii="georgia" w:hAnsi="georgia"/>
          <w:color w:val="000000"/>
          <w:sz w:val="21"/>
        </w:rPr>
        <w:t xml:space="preserve"> → 0.28%</w:t>
      </w:r>
    </w:p>
    <w:p>
      <w:pPr>
        <w:numPr>
          <w:ilvl w:val="0"/>
          <w:numId w:val="3"/>
        </w:numPr>
        <w:spacing w:line="360" w:before="105" w:after="105" w:lineRule="auto"/>
      </w:pPr>
      <w:r>
        <w:rPr>
          <w:rFonts w:eastAsia="georgia" w:cs="georgia" w:ascii="georgia" w:hAnsi="georgia"/>
          <w:color w:val="000000"/>
          <w:sz w:val="21"/>
        </w:rPr>
        <w:t xml:space="preserve">EVs marginal over ICE: 17 million × 31 kg = </w:t>
      </w:r>
      <w:r>
        <w:rPr>
          <w:rFonts w:eastAsia="georgia" w:cs="georgia" w:ascii="georgia" w:hAnsi="georgia"/>
          <w:b/>
          <w:color w:val="000000"/>
          <w:sz w:val="21"/>
        </w:rPr>
        <w:t xml:space="preserve">0.53 Mt</w:t>
      </w:r>
      <w:r>
        <w:rPr>
          <w:rFonts w:eastAsia="georgia" w:cs="georgia" w:ascii="georgia" w:hAnsi="georgia"/>
          <w:color w:val="000000"/>
          <w:sz w:val="21"/>
        </w:rPr>
        <w:t xml:space="preserve"> → 2.29%</w:t>
      </w:r>
    </w:p>
    <w:p>
      <w:pPr>
        <w:spacing w:line="360" w:after="210" w:lineRule="auto"/>
      </w:pPr>
      <w:r>
        <w:rPr>
          <w:rFonts w:eastAsia="georgia" w:cs="georgia" w:ascii="georgia" w:hAnsi="georgia"/>
          <w:b/>
          <w:color w:val="000000"/>
        </w:rPr>
        <w:t xml:space="preserve">Total 2024 clean-tech copper demand ≈ 2.18 Mt = ~9.5% of world copper.</w:t>
      </w:r>
    </w:p>
    <w:p>
      <w:pPr>
        <w:spacing w:line="360" w:after="210" w:lineRule="auto"/>
      </w:pPr>
      <w:r>
        <w:rPr>
          <w:rFonts w:eastAsia="georgia" w:cs="georgia" w:ascii="georgia" w:hAnsi="georgia"/>
          <w:color w:val="000000"/>
        </w:rPr>
        <w:t xml:space="preserve">Compare that to a single end-use, </w:t>
      </w:r>
      <w:r>
        <w:rPr>
          <w:rFonts w:eastAsia="georgia" w:cs="georgia" w:ascii="georgia" w:hAnsi="georgia"/>
          <w:b/>
          <w:color w:val="000000"/>
        </w:rPr>
        <w:t xml:space="preserve">building construction (42%) = 9.66 Mt</w:t>
      </w:r>
      <w:r>
        <w:rPr>
          <w:rFonts w:eastAsia="georgia" w:cs="georgia" w:ascii="georgia" w:hAnsi="georgia"/>
          <w:color w:val="000000"/>
        </w:rPr>
        <w:t xml:space="preserve"> — over six times more copper than every solar panel, wind turbine and EV the world built in 2024 combined.</w:t>
      </w:r>
    </w:p>
    <w:p>
      <w:pPr>
        <w:spacing w:line="360" w:after="210" w:lineRule="auto"/>
      </w:pPr>
      <w:r>
        <w:rPr>
          <w:rFonts w:eastAsia="georgia" w:cs="georgia" w:ascii="georgia" w:hAnsi="georgia"/>
          <w:color w:val="000000"/>
        </w:rPr>
        <w:t xml:space="preserve">So when JPMorgan says "we have to mine more copper for the energy transition," 90% of the new copper they want is for the other things — buildings, cars, cables, military electronics — that the bank also finances. Solar and wind are the smallest slice of the pie, not the reason for the cleaver.</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4" w:name="silicon_metal_where_the_solar_sto_d52d53"/>
      <w:r>
        <w:rPr>
          <w:rFonts w:eastAsia="georgia" w:cs="georgia" w:ascii="georgia" w:hAnsi="georgia"/>
          <w:b/>
          <w:color w:val="000000"/>
          <w:sz w:val="24"/>
        </w:rPr>
        <w:t xml:space="preserve">Silicon metal — where the solar story actually IS the story</w:t>
      </w:r>
      <w:bookmarkEnd w:id="4"/>
    </w:p>
    <w:p>
      <w:pPr>
        <w:spacing w:line="360" w:after="210" w:lineRule="auto"/>
      </w:pPr>
      <w:r>
        <w:rPr>
          <w:rFonts w:eastAsia="georgia" w:cs="georgia" w:ascii="georgia" w:hAnsi="georgia"/>
          <w:color w:val="000000"/>
        </w:rPr>
        <w:t xml:space="preserve">USGS: 4.6 Mt of silicon metal in 2024. China = 80% of it.</w:t>
      </w:r>
    </w:p>
    <w:p>
      <w:pPr>
        <w:numPr>
          <w:ilvl w:val="0"/>
          <w:numId w:val="4"/>
        </w:numPr>
        <w:spacing w:line="360" w:before="105" w:after="105" w:lineRule="auto"/>
      </w:pPr>
      <w:r>
        <w:rPr>
          <w:rFonts w:eastAsia="georgia" w:cs="georgia" w:ascii="georgia" w:hAnsi="georgia"/>
          <w:color w:val="000000"/>
          <w:sz w:val="21"/>
        </w:rPr>
        <w:t xml:space="preserve">Solar PV at 452 GW × 3,646 kg Si/MW = </w:t>
      </w:r>
      <w:r>
        <w:rPr>
          <w:rFonts w:eastAsia="georgia" w:cs="georgia" w:ascii="georgia" w:hAnsi="georgia"/>
          <w:b/>
          <w:color w:val="000000"/>
          <w:sz w:val="21"/>
        </w:rPr>
        <w:t xml:space="preserve">1.65 Mt</w:t>
      </w:r>
      <w:r>
        <w:rPr>
          <w:rFonts w:eastAsia="georgia" w:cs="georgia" w:ascii="georgia" w:hAnsi="georgia"/>
          <w:color w:val="000000"/>
          <w:sz w:val="21"/>
        </w:rPr>
        <w:t xml:space="preserve"> → </w:t>
      </w:r>
      <w:r>
        <w:rPr>
          <w:rFonts w:eastAsia="georgia" w:cs="georgia" w:ascii="georgia" w:hAnsi="georgia"/>
          <w:b/>
          <w:color w:val="000000"/>
          <w:sz w:val="21"/>
        </w:rPr>
        <w:t xml:space="preserve">35.8%</w:t>
      </w:r>
      <w:r>
        <w:rPr>
          <w:rFonts w:eastAsia="georgia" w:cs="georgia" w:ascii="georgia" w:hAnsi="georgia"/>
          <w:color w:val="000000"/>
          <w:sz w:val="21"/>
        </w:rPr>
        <w:t xml:space="preserve"> of world silicon metal</w:t>
      </w:r>
    </w:p>
    <w:p>
      <w:pPr>
        <w:spacing w:line="360" w:after="210" w:lineRule="auto"/>
      </w:pPr>
      <w:r>
        <w:rPr>
          <w:rFonts w:eastAsia="georgia" w:cs="georgia" w:ascii="georgia" w:hAnsi="georgia"/>
          <w:color w:val="000000"/>
        </w:rPr>
        <w:t xml:space="preserve">This is the one place where the "solar needs minerals" line is honest. About a third of world silicon metal really does go to PV. The other two-thirds is aluminium-alloying (for cars, planes, drinks cans) and chemical silicones — and a small slice of ultra-high-purity polysilicon for semiconductors, which is the chip industry.</w:t>
      </w:r>
    </w:p>
    <w:p>
      <w:pPr>
        <w:spacing w:line="360" w:after="210" w:lineRule="auto"/>
      </w:pPr>
      <w:r>
        <w:rPr>
          <w:rFonts w:eastAsia="georgia" w:cs="georgia" w:ascii="georgia" w:hAnsi="georgia"/>
          <w:color w:val="000000"/>
        </w:rPr>
        <w:t xml:space="preserve">There is no military / weapons logic in this one. This is the only mineral on the EU's critical list where the "energy transition" framing matches the volume going to actual energy.</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5" w:name="lithium_battery_story_is_real_mil_7e24e0"/>
      <w:r>
        <w:rPr>
          <w:rFonts w:eastAsia="georgia" w:cs="georgia" w:ascii="georgia" w:hAnsi="georgia"/>
          <w:b/>
          <w:color w:val="000000"/>
          <w:sz w:val="24"/>
        </w:rPr>
        <w:t xml:space="preserve">Lithium — battery story is real, military story is hidden</w:t>
      </w:r>
      <w:bookmarkEnd w:id="5"/>
    </w:p>
    <w:p>
      <w:pPr>
        <w:spacing w:line="360" w:after="210" w:lineRule="auto"/>
      </w:pPr>
      <w:r>
        <w:rPr>
          <w:rFonts w:eastAsia="georgia" w:cs="georgia" w:ascii="georgia" w:hAnsi="georgia"/>
          <w:color w:val="000000"/>
        </w:rPr>
        <w:t xml:space="preserve">USGS: 240,000 t Li (content) world production in 2024. Verbatim: </w:t>
      </w:r>
      <w:r>
        <w:rPr>
          <w:rFonts w:eastAsia="georgia" w:cs="georgia" w:ascii="georgia" w:hAnsi="georgia"/>
          <w:i/>
          <w:color w:val="000000"/>
        </w:rPr>
        <w:t xml:space="preserve">"batteries 87%; ceramics and glass 5%; lubricating greases 2%."</w:t>
      </w:r>
    </w:p>
    <w:p>
      <w:pPr>
        <w:spacing w:line="360" w:after="210" w:lineRule="auto"/>
      </w:pPr>
      <w:r>
        <w:rPr>
          <w:rFonts w:eastAsia="georgia" w:cs="georgia" w:ascii="georgia" w:hAnsi="georgia"/>
          <w:color w:val="000000"/>
        </w:rPr>
        <w:t xml:space="preserve">17 million EVs × ~8.9 kg Li each = </w:t>
      </w:r>
      <w:r>
        <w:rPr>
          <w:rFonts w:eastAsia="georgia" w:cs="georgia" w:ascii="georgia" w:hAnsi="georgia"/>
          <w:b/>
          <w:color w:val="000000"/>
        </w:rPr>
        <w:t xml:space="preserve">151,000 t</w:t>
      </w:r>
      <w:r>
        <w:rPr>
          <w:rFonts w:eastAsia="georgia" w:cs="georgia" w:ascii="georgia" w:hAnsi="georgia"/>
          <w:color w:val="000000"/>
        </w:rPr>
        <w:t xml:space="preserve"> → </w:t>
      </w:r>
      <w:r>
        <w:rPr>
          <w:rFonts w:eastAsia="georgia" w:cs="georgia" w:ascii="georgia" w:hAnsi="georgia"/>
          <w:b/>
          <w:color w:val="000000"/>
        </w:rPr>
        <w:t xml:space="preserve">63%</w:t>
      </w:r>
      <w:r>
        <w:rPr>
          <w:rFonts w:eastAsia="georgia" w:cs="georgia" w:ascii="georgia" w:hAnsi="georgia"/>
          <w:color w:val="000000"/>
        </w:rPr>
        <w:t xml:space="preserve"> of world lithium goes to EV traction batteries alone. Add phones, laptops, grid storage and the 87% number checks out.</w:t>
      </w:r>
    </w:p>
    <w:p>
      <w:pPr>
        <w:spacing w:line="360" w:after="210" w:lineRule="auto"/>
      </w:pPr>
      <w:r>
        <w:rPr>
          <w:rFonts w:eastAsia="georgia" w:cs="georgia" w:ascii="georgia" w:hAnsi="georgia"/>
          <w:color w:val="000000"/>
        </w:rPr>
        <w:t xml:space="preserve">But the lithium story has a second supply chain almost no one talks about. </w:t>
      </w:r>
      <w:r>
        <w:rPr>
          <w:rFonts w:eastAsia="georgia" w:cs="georgia" w:ascii="georgia" w:hAnsi="georgia"/>
          <w:b/>
          <w:color w:val="000000"/>
        </w:rPr>
        <w:t xml:space="preserve">Lithium-6</w:t>
      </w:r>
      <w:r>
        <w:rPr>
          <w:rFonts w:eastAsia="georgia" w:cs="georgia" w:ascii="georgia" w:hAnsi="georgia"/>
          <w:color w:val="000000"/>
        </w:rPr>
        <w:t xml:space="preserve">, separated from lithium-7 isotopically, is the thermonuclear fuel in the secondary stage of every hydrogen bomb on Earth. The US Y-12 plant at Oak Ridge ran lithium isotope separation for the weapons stockpile from the 1950s (</w:t>
      </w:r>
      <w:hyperlink r:id="rId13">
        <w:r>
          <w:rPr>
            <w:rFonts w:eastAsia="helvetica neue" w:cs="helvetica neue" w:ascii="helvetica neue" w:hAnsi="helvetica neue"/>
            <w:color w:val="#000"/>
            <w:u w:val="single"/>
          </w:rPr>
          <w:t xml:space="preserve">NNSA / Y-12 history</w:t>
        </w:r>
      </w:hyperlink>
      <w:r>
        <w:rPr>
          <w:rFonts w:eastAsia="georgia" w:cs="georgia" w:ascii="georgia" w:hAnsi="georgia"/>
          <w:color w:val="000000"/>
        </w:rPr>
        <w:t xml:space="preserve">). The volume is tiny in tonnage terms (a warhead needs kilograms, not tonnes), but the supply chain is the same lithium chain, and the financing is the same banks.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6" w:name="cobalt_where_the_ev_mineral_story_breaks"/>
      <w:r>
        <w:rPr>
          <w:rFonts w:eastAsia="georgia" w:cs="georgia" w:ascii="georgia" w:hAnsi="georgia"/>
          <w:b/>
          <w:color w:val="000000"/>
          <w:sz w:val="24"/>
        </w:rPr>
        <w:t xml:space="preserve">Cobalt — where the "EV mineral" story breaks</w:t>
      </w:r>
      <w:bookmarkEnd w:id="6"/>
    </w:p>
    <w:p>
      <w:pPr>
        <w:spacing w:line="360" w:after="210" w:lineRule="auto"/>
      </w:pPr>
      <w:r>
        <w:rPr>
          <w:rFonts w:eastAsia="georgia" w:cs="georgia" w:ascii="georgia" w:hAnsi="georgia"/>
          <w:color w:val="000000"/>
        </w:rPr>
        <w:t xml:space="preserve">USGS world cobalt 2024 = </w:t>
      </w:r>
      <w:r>
        <w:rPr>
          <w:rFonts w:eastAsia="georgia" w:cs="georgia" w:ascii="georgia" w:hAnsi="georgia"/>
          <w:b/>
          <w:color w:val="000000"/>
        </w:rPr>
        <w:t xml:space="preserve">290,000 t</w:t>
      </w:r>
      <w:r>
        <w:rPr>
          <w:rFonts w:eastAsia="georgia" w:cs="georgia" w:ascii="georgia" w:hAnsi="georgia"/>
          <w:color w:val="000000"/>
        </w:rPr>
        <w:t xml:space="preserve">. DRC alone = 220,000 t (76%).</w:t>
      </w:r>
    </w:p>
    <w:p>
      <w:pPr>
        <w:spacing w:line="360" w:after="210" w:lineRule="auto"/>
      </w:pPr>
      <w:r>
        <w:rPr>
          <w:rFonts w:eastAsia="georgia" w:cs="georgia" w:ascii="georgia" w:hAnsi="georgia"/>
          <w:color w:val="000000"/>
        </w:rPr>
        <w:t xml:space="preserve">If every EV had a full-cobalt NMC battery: 17 million × ~13 kg = 226,000 t → 78% of all cobalt. But the actual industry is moving rapidly to LFP (lithium-iron-phosphate) batteries, which contain zero cobalt. Tesla, BYD, CATL all dominate with LFP. Real EV cobalt demand is closer to 40-50% of world supply, not 78%.</w:t>
      </w:r>
    </w:p>
    <w:p>
      <w:pPr>
        <w:spacing w:line="360" w:after="210" w:lineRule="auto"/>
      </w:pPr>
      <w:r>
        <w:rPr>
          <w:rFonts w:eastAsia="georgia" w:cs="georgia" w:ascii="georgia" w:hAnsi="georgia"/>
          <w:color w:val="000000"/>
        </w:rPr>
        <w:t xml:space="preserve">USGS US end-use, verbatim (</w:t>
      </w:r>
      <w:hyperlink r:id="rId14">
        <w:r>
          <w:rPr>
            <w:rFonts w:eastAsia="helvetica neue" w:cs="helvetica neue" w:ascii="helvetica neue" w:hAnsi="helvetica neue"/>
            <w:color w:val="#000"/>
            <w:u w:val="single"/>
          </w:rPr>
          <w:t xml:space="preserve">USGS 2025 Cobalt</w:t>
        </w:r>
      </w:hyperlink>
      <w:r>
        <w:rPr>
          <w:rFonts w:eastAsia="georgia" w:cs="georgia" w:ascii="georgia" w:hAnsi="georgia"/>
          <w:color w:val="000000"/>
        </w:rPr>
        <w:t xml:space="preserve">):</w:t>
      </w:r>
    </w:p>
    <w:p>
      <w:pPr>
        <w:spacing w:line="360" w:after="210" w:lineRule="auto"/>
        <w:ind w:left="630"/>
      </w:pPr>
      <w:r>
        <w:rPr>
          <w:rFonts w:eastAsia="georgia" w:cs="georgia" w:ascii="georgia" w:hAnsi="georgia"/>
          <w:i/>
          <w:color w:val="000000"/>
        </w:rPr>
        <w:t xml:space="preserve">"An estimated 51% of cobalt consumed in the United States was used in superalloys, mainly aircraft gas turbine engines; 25% in a variety of chemical applications; 15% in various other metallic applications; and 9% in cemented carbides for cutting and wear-resistant applications."</w:t>
      </w:r>
    </w:p>
    <w:p>
      <w:pPr>
        <w:spacing w:line="360" w:after="210" w:lineRule="auto"/>
      </w:pPr>
      <w:r>
        <w:rPr>
          <w:rFonts w:eastAsia="georgia" w:cs="georgia" w:ascii="georgia" w:hAnsi="georgia"/>
          <w:color w:val="000000"/>
        </w:rPr>
        <w:t xml:space="preserve">Important scoping note: the 51% is </w:t>
      </w:r>
      <w:r>
        <w:rPr>
          <w:rFonts w:eastAsia="georgia" w:cs="georgia" w:ascii="georgia" w:hAnsi="georgia"/>
          <w:b/>
          <w:color w:val="000000"/>
        </w:rPr>
        <w:t xml:space="preserve">US domestic consumption</w:t>
      </w:r>
      <w:r>
        <w:rPr>
          <w:rFonts w:eastAsia="georgia" w:cs="georgia" w:ascii="georgia" w:hAnsi="georgia"/>
          <w:color w:val="000000"/>
        </w:rPr>
        <w:t xml:space="preserve">, not global. Globally, USGS confirms the leading use is lithium-ion batteries, dominated by China. "Aircraft gas turbine engine" is USGS's term for jet engine and includes both civil engines (Boeing/Airbus airframes) and military engines (F-35 Pratt &amp; Whitney F135, Rolls-Royce military, P-8 Poseidon sub-hunters, KC-46 tankers). USGS does not break out civil vs. military within that 51%. The Pentagon explicitly identifies cobalt-bearing superalloys as critical to airframe production (</w:t>
      </w:r>
      <w:hyperlink r:id="rId15">
        <w:r>
          <w:rPr>
            <w:rFonts w:eastAsia="helvetica neue" w:cs="helvetica neue" w:ascii="helvetica neue" w:hAnsi="helvetica neue"/>
            <w:color w:val="#000"/>
            <w:u w:val="single"/>
          </w:rPr>
          <w:t xml:space="preserve">CRS R47559</w:t>
        </w:r>
      </w:hyperlink>
      <w:r>
        <w:rPr>
          <w:rFonts w:eastAsia="georgia" w:cs="georgia" w:ascii="georgia" w:hAnsi="georgia"/>
          <w:color w:val="000000"/>
        </w:rPr>
        <w:t xml:space="preserve">).</w:t>
      </w:r>
    </w:p>
    <w:p>
      <w:pPr>
        <w:spacing w:line="360" w:after="210" w:lineRule="auto"/>
      </w:pPr>
      <w:r>
        <w:rPr>
          <w:rFonts w:eastAsia="georgia" w:cs="georgia" w:ascii="georgia" w:hAnsi="georgia"/>
          <w:color w:val="000000"/>
        </w:rPr>
        <w:t xml:space="preserve">So: in the US, more than half of cobalt has nothing to do with batteries. It is in jet engines — civil and military. The Pentagon stockpiles cobalt for a reason.</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7" w:name="nickel_85_of_it_is_in_steel"/>
      <w:r>
        <w:rPr>
          <w:rFonts w:eastAsia="georgia" w:cs="georgia" w:ascii="georgia" w:hAnsi="georgia"/>
          <w:b/>
          <w:color w:val="000000"/>
          <w:sz w:val="24"/>
        </w:rPr>
        <w:t xml:space="preserve">Nickel — 85% of it is in steel</w:t>
      </w:r>
      <w:bookmarkEnd w:id="7"/>
    </w:p>
    <w:p>
      <w:pPr>
        <w:spacing w:line="360" w:after="210" w:lineRule="auto"/>
      </w:pPr>
      <w:r>
        <w:rPr>
          <w:rFonts w:eastAsia="georgia" w:cs="georgia" w:ascii="georgia" w:hAnsi="georgia"/>
          <w:color w:val="000000"/>
        </w:rPr>
        <w:t xml:space="preserve">USGS: 3.7 Mt world nickel in 2024. Indonesia alone = 2.2 Mt (59%).</w:t>
      </w:r>
    </w:p>
    <w:p>
      <w:pPr>
        <w:spacing w:line="360" w:after="210" w:lineRule="auto"/>
      </w:pPr>
      <w:r>
        <w:rPr>
          <w:rFonts w:eastAsia="georgia" w:cs="georgia" w:ascii="georgia" w:hAnsi="georgia"/>
          <w:color w:val="000000"/>
        </w:rPr>
        <w:t xml:space="preserve">USGS US end-use, verbatim: </w:t>
      </w:r>
      <w:r>
        <w:rPr>
          <w:rFonts w:eastAsia="georgia" w:cs="georgia" w:ascii="georgia" w:hAnsi="georgia"/>
          <w:i/>
          <w:color w:val="000000"/>
        </w:rPr>
        <w:t xml:space="preserve">"Stainless and alloy steel and nickel-containing alloys typically account for </w:t>
      </w:r>
      <w:r>
        <w:rPr>
          <w:rFonts w:eastAsia="georgia" w:cs="georgia" w:ascii="georgia" w:hAnsi="georgia"/>
          <w:b/>
          <w:i/>
          <w:color w:val="000000"/>
        </w:rPr>
        <w:t xml:space="preserve">more than 85% of domestic consumption."</w:t>
      </w:r>
      <w:r>
        <w:rPr>
          <w:rFonts w:eastAsia="georgia" w:cs="georgia" w:ascii="georgia" w:hAnsi="georgia"/>
          <w:color w:val="000000"/>
        </w:rPr>
        <w:t xml:space="preserve"> That includes armour plate, gun barrels, naval hulls, submarine pressure vessels.</w:t>
      </w:r>
    </w:p>
    <w:p>
      <w:pPr>
        <w:spacing w:line="360" w:after="210" w:lineRule="auto"/>
      </w:pPr>
      <w:r>
        <w:rPr>
          <w:rFonts w:eastAsia="georgia" w:cs="georgia" w:ascii="georgia" w:hAnsi="georgia"/>
          <w:color w:val="000000"/>
        </w:rPr>
        <w:t xml:space="preserve">EV cathodes: 17 million × 39.9 kg Ni = 678,000 t → </w:t>
      </w:r>
      <w:r>
        <w:rPr>
          <w:rFonts w:eastAsia="georgia" w:cs="georgia" w:ascii="georgia" w:hAnsi="georgia"/>
          <w:b/>
          <w:color w:val="000000"/>
        </w:rPr>
        <w:t xml:space="preserve">18%</w:t>
      </w:r>
      <w:r>
        <w:rPr>
          <w:rFonts w:eastAsia="georgia" w:cs="georgia" w:ascii="georgia" w:hAnsi="georgia"/>
          <w:color w:val="000000"/>
        </w:rPr>
        <w:t xml:space="preserve"> of world Ni. Wind nickel: ~50,000 t → 1.3%.</w:t>
      </w:r>
    </w:p>
    <w:p>
      <w:pPr>
        <w:spacing w:line="360" w:after="210" w:lineRule="auto"/>
      </w:pPr>
      <w:r>
        <w:rPr>
          <w:rFonts w:eastAsia="georgia" w:cs="georgia" w:ascii="georgia" w:hAnsi="georgia"/>
          <w:color w:val="000000"/>
        </w:rPr>
        <w:t xml:space="preserve">Together, every EV and every wind turbine built in 2024 used about a fifth of world nickel. Steel — including military steel — used four times more.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8" w:name="neodymium_where_the_same_magnet_d_cd71b3"/>
      <w:r>
        <w:rPr>
          <w:rFonts w:eastAsia="georgia" w:cs="georgia" w:ascii="georgia" w:hAnsi="georgia"/>
          <w:b/>
          <w:color w:val="000000"/>
          <w:sz w:val="24"/>
        </w:rPr>
        <w:t xml:space="preserve">Neodymium — where the same magnet does both jobs</w:t>
      </w:r>
      <w:bookmarkEnd w:id="8"/>
    </w:p>
    <w:p>
      <w:pPr>
        <w:spacing w:line="360" w:after="210" w:lineRule="auto"/>
      </w:pPr>
      <w:r>
        <w:rPr>
          <w:rFonts w:eastAsia="georgia" w:cs="georgia" w:ascii="georgia" w:hAnsi="georgia"/>
          <w:color w:val="000000"/>
        </w:rPr>
        <w:t xml:space="preserve">The rare-earth basket is 390,000 t REO. Neodymium is roughly 18-19% of that basket = </w:t>
      </w:r>
      <w:r>
        <w:rPr>
          <w:rFonts w:eastAsia="georgia" w:cs="georgia" w:ascii="georgia" w:hAnsi="georgia"/>
          <w:b/>
          <w:color w:val="000000"/>
        </w:rPr>
        <w:t xml:space="preserve">~74,000 t Nd / yr</w:t>
      </w:r>
      <w:r>
        <w:rPr>
          <w:rFonts w:eastAsia="georgia" w:cs="georgia" w:ascii="georgia" w:hAnsi="georgia"/>
          <w:color w:val="000000"/>
        </w:rPr>
        <w:t xml:space="preserve">.</w:t>
      </w:r>
    </w:p>
    <w:p>
      <w:pPr>
        <w:spacing w:line="360" w:after="210" w:lineRule="auto"/>
      </w:pPr>
      <w:r>
        <w:rPr>
          <w:rFonts w:eastAsia="georgia" w:cs="georgia" w:ascii="georgia" w:hAnsi="georgia"/>
          <w:color w:val="000000"/>
        </w:rPr>
        <w:t xml:space="preserve">Per-MW use in permanent-magnet wind turbines: ~180 kg Nd onshore, ~230 kg offshore. Per EV (with rare-earth magnet motor — not all do): up to 1 kg.</w:t>
      </w:r>
    </w:p>
    <w:p>
      <w:pPr>
        <w:spacing w:line="360" w:after="210" w:lineRule="auto"/>
      </w:pPr>
      <w:r>
        <w:rPr>
          <w:rFonts w:eastAsia="georgia" w:cs="georgia" w:ascii="georgia" w:hAnsi="georgia"/>
          <w:color w:val="000000"/>
        </w:rPr>
        <w:t xml:space="preserve">Realistic 2024 split:</w:t>
      </w:r>
    </w:p>
    <w:p>
      <w:pPr>
        <w:numPr>
          <w:ilvl w:val="0"/>
          <w:numId w:val="5"/>
        </w:numPr>
        <w:spacing w:line="360" w:before="105" w:after="105" w:lineRule="auto"/>
      </w:pPr>
      <w:r>
        <w:rPr>
          <w:rFonts w:eastAsia="georgia" w:cs="georgia" w:ascii="georgia" w:hAnsi="georgia"/>
          <w:color w:val="000000"/>
          <w:sz w:val="21"/>
        </w:rPr>
        <w:t xml:space="preserve">About 30% of onshore wind turbines use PM direct-drive — the rest use doubly-fed induction generators with little Nd. 109 GW × 30% × 180 kg = </w:t>
      </w:r>
      <w:r>
        <w:rPr>
          <w:rFonts w:eastAsia="georgia" w:cs="georgia" w:ascii="georgia" w:hAnsi="georgia"/>
          <w:b/>
          <w:color w:val="000000"/>
          <w:sz w:val="21"/>
        </w:rPr>
        <w:t xml:space="preserve">5,900 t Nd</w:t>
      </w:r>
      <w:r>
        <w:rPr>
          <w:rFonts w:eastAsia="georgia" w:cs="georgia" w:ascii="georgia" w:hAnsi="georgia"/>
          <w:color w:val="000000"/>
          <w:sz w:val="21"/>
        </w:rPr>
        <w:t xml:space="preserve">.</w:t>
      </w:r>
    </w:p>
    <w:p>
      <w:pPr>
        <w:numPr>
          <w:ilvl w:val="0"/>
          <w:numId w:val="5"/>
        </w:numPr>
        <w:spacing w:line="360" w:before="105" w:after="105" w:lineRule="auto"/>
      </w:pPr>
      <w:r>
        <w:rPr>
          <w:rFonts w:eastAsia="georgia" w:cs="georgia" w:ascii="georgia" w:hAnsi="georgia"/>
          <w:color w:val="000000"/>
          <w:sz w:val="21"/>
        </w:rPr>
        <w:t xml:space="preserve">Offshore wind is ~90% PM direct-drive. 8 GW × 90% × 230 kg = </w:t>
      </w:r>
      <w:r>
        <w:rPr>
          <w:rFonts w:eastAsia="georgia" w:cs="georgia" w:ascii="georgia" w:hAnsi="georgia"/>
          <w:b/>
          <w:color w:val="000000"/>
          <w:sz w:val="21"/>
        </w:rPr>
        <w:t xml:space="preserve">1,700 t Nd</w:t>
      </w:r>
      <w:r>
        <w:rPr>
          <w:rFonts w:eastAsia="georgia" w:cs="georgia" w:ascii="georgia" w:hAnsi="georgia"/>
          <w:color w:val="000000"/>
          <w:sz w:val="21"/>
        </w:rPr>
        <w:t xml:space="preserve">.</w:t>
      </w:r>
    </w:p>
    <w:p>
      <w:pPr>
        <w:numPr>
          <w:ilvl w:val="0"/>
          <w:numId w:val="5"/>
        </w:numPr>
        <w:spacing w:line="360" w:before="105" w:after="105" w:lineRule="auto"/>
      </w:pPr>
      <w:r>
        <w:rPr>
          <w:rFonts w:eastAsia="georgia" w:cs="georgia" w:ascii="georgia" w:hAnsi="georgia"/>
          <w:color w:val="000000"/>
          <w:sz w:val="21"/>
        </w:rPr>
        <w:t xml:space="preserve">EVs at 1 kg average: </w:t>
      </w:r>
      <w:r>
        <w:rPr>
          <w:rFonts w:eastAsia="georgia" w:cs="georgia" w:ascii="georgia" w:hAnsi="georgia"/>
          <w:b/>
          <w:color w:val="000000"/>
          <w:sz w:val="21"/>
        </w:rPr>
        <w:t xml:space="preserve">17,000 t Nd</w:t>
      </w:r>
      <w:r>
        <w:rPr>
          <w:rFonts w:eastAsia="georgia" w:cs="georgia" w:ascii="georgia" w:hAnsi="georgia"/>
          <w:color w:val="000000"/>
          <w:sz w:val="21"/>
        </w:rPr>
        <w:t xml:space="preserve">.</w:t>
      </w:r>
    </w:p>
    <w:p>
      <w:pPr>
        <w:spacing w:line="360" w:after="210" w:lineRule="auto"/>
      </w:pPr>
      <w:r>
        <w:rPr>
          <w:rFonts w:eastAsia="georgia" w:cs="georgia" w:ascii="georgia" w:hAnsi="georgia"/>
          <w:color w:val="000000"/>
        </w:rPr>
        <w:t xml:space="preserve">Wind + EVs combined ≈ </w:t>
      </w:r>
      <w:r>
        <w:rPr>
          <w:rFonts w:eastAsia="georgia" w:cs="georgia" w:ascii="georgia" w:hAnsi="georgia"/>
          <w:b/>
          <w:color w:val="000000"/>
        </w:rPr>
        <w:t xml:space="preserve">24,500 t Nd → ~33% of world Nd production.</w:t>
      </w:r>
      <w:r>
        <w:rPr>
          <w:rFonts w:eastAsia="georgia" w:cs="georgia" w:ascii="georgia" w:hAnsi="georgia"/>
          <w:color w:val="000000"/>
        </w:rPr>
        <w:t xml:space="preserve"> The other two-thirds goes to: hard disks, headphones, MRI machines, industrial motors, </w:t>
      </w:r>
      <w:r>
        <w:rPr>
          <w:rFonts w:eastAsia="georgia" w:cs="georgia" w:ascii="georgia" w:hAnsi="georgia"/>
          <w:b/>
          <w:color w:val="000000"/>
        </w:rPr>
        <w:t xml:space="preserve">and the same Nd-Fe-B magnets in F-35 actuator fins, drone motors, missile control surfaces, submarine sonar transducers</w:t>
      </w:r>
      <w:r>
        <w:rPr>
          <w:rFonts w:eastAsia="georgia" w:cs="georgia" w:ascii="georgia" w:hAnsi="georgia"/>
          <w:color w:val="000000"/>
        </w:rPr>
        <w:t xml:space="preserve">. One F-35 contains roughly 417 kg of rare-earth-bearing materials (</w:t>
      </w:r>
      <w:hyperlink r:id="rId16">
        <w:r>
          <w:rPr>
            <w:rFonts w:eastAsia="helvetica neue" w:cs="helvetica neue" w:ascii="helvetica neue" w:hAnsi="helvetica neue"/>
            <w:color w:val="#000"/>
            <w:u w:val="single"/>
          </w:rPr>
          <w:t xml:space="preserve">CRS R41347</w:t>
        </w:r>
      </w:hyperlink>
      <w:r>
        <w:rPr>
          <w:rFonts w:eastAsia="georgia" w:cs="georgia" w:ascii="georgia" w:hAnsi="georgia"/>
          <w:color w:val="000000"/>
        </w:rPr>
        <w:t xml:space="preserve">). The US plans about 2,500 F-35 airframes.</w:t>
      </w:r>
    </w:p>
    <w:p>
      <w:pPr>
        <w:spacing w:line="360" w:after="210" w:lineRule="auto"/>
      </w:pPr>
      <w:r>
        <w:rPr>
          <w:rFonts w:eastAsia="georgia" w:cs="georgia" w:ascii="georgia" w:hAnsi="georgia"/>
          <w:color w:val="000000"/>
        </w:rPr>
        <w:t xml:space="preserve">The supply chain does not separate "wind-turbine Nd" from "missile-fin Nd". The same kiln. The same refinery. The same shipment. Almost all of it through China.</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9" w:name="antimony_the_one_where_the_maths_571875"/>
      <w:r>
        <w:rPr>
          <w:rFonts w:eastAsia="georgia" w:cs="georgia" w:ascii="georgia" w:hAnsi="georgia"/>
          <w:b/>
          <w:color w:val="000000"/>
          <w:sz w:val="24"/>
        </w:rPr>
        <w:t xml:space="preserve">Antimony — the one where the maths is uncomfortable</w:t>
      </w:r>
      <w:bookmarkEnd w:id="9"/>
    </w:p>
    <w:p>
      <w:pPr>
        <w:spacing w:line="360" w:after="210" w:lineRule="auto"/>
      </w:pPr>
      <w:r>
        <w:rPr>
          <w:rFonts w:eastAsia="georgia" w:cs="georgia" w:ascii="georgia" w:hAnsi="georgia"/>
          <w:color w:val="000000"/>
        </w:rPr>
        <w:t xml:space="preserve">USGS world antimony 2024 = </w:t>
      </w:r>
      <w:r>
        <w:rPr>
          <w:rFonts w:eastAsia="georgia" w:cs="georgia" w:ascii="georgia" w:hAnsi="georgia"/>
          <w:b/>
          <w:color w:val="000000"/>
        </w:rPr>
        <w:t xml:space="preserve">100,000 t</w:t>
      </w:r>
      <w:r>
        <w:rPr>
          <w:rFonts w:eastAsia="georgia" w:cs="georgia" w:ascii="georgia" w:hAnsi="georgia"/>
          <w:color w:val="000000"/>
        </w:rPr>
        <w:t xml:space="preserve">. USGS US end-use, verbatim:</w:t>
      </w:r>
    </w:p>
    <w:p>
      <w:pPr>
        <w:numPr>
          <w:ilvl w:val="0"/>
          <w:numId w:val="6"/>
        </w:numPr>
        <w:spacing w:line="360" w:before="105" w:after="105" w:lineRule="auto"/>
      </w:pPr>
      <w:r>
        <w:rPr>
          <w:rFonts w:eastAsia="georgia" w:cs="georgia" w:ascii="georgia" w:hAnsi="georgia"/>
          <w:i/>
          <w:color w:val="000000"/>
          <w:sz w:val="21"/>
        </w:rPr>
        <w:t xml:space="preserve">"metal products, including antimonial lead </w:t>
      </w:r>
      <w:r>
        <w:rPr>
          <w:rFonts w:eastAsia="georgia" w:cs="georgia" w:ascii="georgia" w:hAnsi="georgia"/>
          <w:b/>
          <w:i/>
          <w:color w:val="000000"/>
          <w:sz w:val="21"/>
        </w:rPr>
        <w:t xml:space="preserve">and ammunition, 40%"</w:t>
      </w:r>
    </w:p>
    <w:p>
      <w:pPr>
        <w:numPr>
          <w:ilvl w:val="0"/>
          <w:numId w:val="6"/>
        </w:numPr>
        <w:spacing w:line="360" w:before="105" w:after="105" w:lineRule="auto"/>
      </w:pPr>
      <w:r>
        <w:rPr>
          <w:rFonts w:eastAsia="georgia" w:cs="georgia" w:ascii="georgia" w:hAnsi="georgia"/>
          <w:color w:val="000000"/>
          <w:sz w:val="21"/>
        </w:rPr>
        <w:t xml:space="preserve">flame retardants — 39%</w:t>
      </w:r>
    </w:p>
    <w:p>
      <w:pPr>
        <w:numPr>
          <w:ilvl w:val="0"/>
          <w:numId w:val="6"/>
        </w:numPr>
        <w:spacing w:line="360" w:before="105" w:after="105" w:lineRule="auto"/>
      </w:pPr>
      <w:r>
        <w:rPr>
          <w:rFonts w:eastAsia="georgia" w:cs="georgia" w:ascii="georgia" w:hAnsi="georgia"/>
          <w:color w:val="000000"/>
          <w:sz w:val="21"/>
        </w:rPr>
        <w:t xml:space="preserve">non-metal products including ceramics, glass and rubber — 21%</w:t>
      </w:r>
    </w:p>
    <w:p>
      <w:pPr>
        <w:spacing w:line="360" w:after="210" w:lineRule="auto"/>
      </w:pPr>
      <w:r>
        <w:rPr>
          <w:rFonts w:eastAsia="georgia" w:cs="georgia" w:ascii="georgia" w:hAnsi="georgia"/>
          <w:color w:val="000000"/>
        </w:rPr>
        <w:t xml:space="preserve">The "ceramics and glass" slice (21%) is where solar-PV cover glass uses antimony as a clarifier. Photovoltaic cover-glass demand is roughly a few thousand tonnes a year — single-digit percent of world antimony at most.</w:t>
      </w:r>
    </w:p>
    <w:p>
      <w:pPr>
        <w:spacing w:line="360" w:after="210" w:lineRule="auto"/>
      </w:pPr>
      <w:r>
        <w:rPr>
          <w:rFonts w:eastAsia="georgia" w:cs="georgia" w:ascii="georgia" w:hAnsi="georgia"/>
          <w:color w:val="000000"/>
        </w:rPr>
        <w:t xml:space="preserve">The 40% slice is ammunition. Lead-antimony alloy hardens bullet cores. Antimony sulfide is in primer compositions. The US Pentagon has put $59.4m of Defense Production Act Title III money into ONE company — Perpetua Resources — to restart the Stibnite mine in Idaho, because antimony is </w:t>
      </w:r>
      <w:r>
        <w:rPr>
          <w:rFonts w:eastAsia="georgia" w:cs="georgia" w:ascii="georgia" w:hAnsi="georgia"/>
          <w:i/>
          <w:color w:val="000000"/>
        </w:rPr>
        <w:t xml:space="preserve">"essential to national defense as a key component for munitions… for small arms, munitions, and missile types"</w:t>
      </w:r>
      <w:r>
        <w:rPr>
          <w:rFonts w:eastAsia="georgia" w:cs="georgia" w:ascii="georgia" w:hAnsi="georgia"/>
          <w:color w:val="000000"/>
        </w:rPr>
        <w:t xml:space="preserve"> (</w:t>
      </w:r>
      <w:hyperlink r:id="rId17">
        <w:r>
          <w:rPr>
            <w:rFonts w:eastAsia="helvetica neue" w:cs="helvetica neue" w:ascii="helvetica neue" w:hAnsi="helvetica neue"/>
            <w:color w:val="#000"/>
            <w:u w:val="single"/>
          </w:rPr>
          <w:t xml:space="preserve">Perpetua / US DoD</w:t>
        </w:r>
      </w:hyperlink>
      <w:r>
        <w:rPr>
          <w:rFonts w:eastAsia="georgia" w:cs="georgia" w:ascii="georgia" w:hAnsi="georgia"/>
          <w:color w:val="000000"/>
        </w:rPr>
        <w:t xml:space="preserve">). JPMorgan underwrites Perpetua's NYSE offerings.</w:t>
      </w:r>
    </w:p>
    <w:p>
      <w:pPr>
        <w:spacing w:line="360" w:after="210" w:lineRule="auto"/>
      </w:pPr>
      <w:r>
        <w:rPr>
          <w:rFonts w:eastAsia="georgia" w:cs="georgia" w:ascii="georgia" w:hAnsi="georgia"/>
          <w:color w:val="000000"/>
        </w:rPr>
        <w:t xml:space="preserve">Volume answer: at most ~5% of world antimony goes to solar glass. Around 40% goes to ammunition. The mineral being fast-tracked under the EU CRMA is fast-tracked for the bullet, not the panel.</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0" w:name="gallium_and_germanium_the_defence_a1453e"/>
      <w:r>
        <w:rPr>
          <w:rFonts w:eastAsia="georgia" w:cs="georgia" w:ascii="georgia" w:hAnsi="georgia"/>
          <w:b/>
          <w:color w:val="000000"/>
          <w:sz w:val="24"/>
        </w:rPr>
        <w:t xml:space="preserve">Gallium and germanium — the defence semiconductors</w:t>
      </w:r>
      <w:bookmarkEnd w:id="10"/>
    </w:p>
    <w:p>
      <w:pPr>
        <w:spacing w:line="360" w:after="210" w:lineRule="auto"/>
      </w:pPr>
      <w:r>
        <w:rPr>
          <w:rFonts w:eastAsia="georgia" w:cs="georgia" w:ascii="georgia" w:hAnsi="georgia"/>
          <w:color w:val="000000"/>
        </w:rPr>
        <w:t xml:space="preserve">USGS: world gallium 2024 = </w:t>
      </w:r>
      <w:r>
        <w:rPr>
          <w:rFonts w:eastAsia="georgia" w:cs="georgia" w:ascii="georgia" w:hAnsi="georgia"/>
          <w:b/>
          <w:color w:val="000000"/>
        </w:rPr>
        <w:t xml:space="preserve">760 t</w:t>
      </w:r>
      <w:r>
        <w:rPr>
          <w:rFonts w:eastAsia="georgia" w:cs="georgia" w:ascii="georgia" w:hAnsi="georgia"/>
          <w:color w:val="000000"/>
        </w:rPr>
        <w:t xml:space="preserve"> (low-purity); </w:t>
      </w:r>
      <w:r>
        <w:rPr>
          <w:rFonts w:eastAsia="georgia" w:cs="georgia" w:ascii="georgia" w:hAnsi="georgia"/>
          <w:b/>
          <w:color w:val="000000"/>
        </w:rPr>
        <w:t xml:space="preserve">320 t</w:t>
      </w:r>
      <w:r>
        <w:rPr>
          <w:rFonts w:eastAsia="georgia" w:cs="georgia" w:ascii="georgia" w:hAnsi="georgia"/>
          <w:color w:val="000000"/>
        </w:rPr>
        <w:t xml:space="preserve"> high-purity refined. China = 94%.</w:t>
      </w:r>
    </w:p>
    <w:p>
      <w:pPr>
        <w:spacing w:line="360" w:after="210" w:lineRule="auto"/>
      </w:pPr>
      <w:r>
        <w:rPr>
          <w:rFonts w:eastAsia="georgia" w:cs="georgia" w:ascii="georgia" w:hAnsi="georgia"/>
          <w:color w:val="000000"/>
        </w:rPr>
        <w:t xml:space="preserve">USGS US gallium end-use, verbatim:</w:t>
      </w:r>
    </w:p>
    <w:p>
      <w:pPr>
        <w:numPr>
          <w:ilvl w:val="0"/>
          <w:numId w:val="7"/>
        </w:numPr>
        <w:spacing w:line="360" w:before="105" w:after="105" w:lineRule="auto"/>
      </w:pPr>
      <w:r>
        <w:rPr>
          <w:rFonts w:eastAsia="georgia" w:cs="georgia" w:ascii="georgia" w:hAnsi="georgia"/>
          <w:b/>
          <w:color w:val="000000"/>
          <w:sz w:val="21"/>
        </w:rPr>
        <w:t xml:space="preserve">Integrated circuits — 79%</w:t>
      </w:r>
      <w:r>
        <w:rPr>
          <w:rFonts w:eastAsia="georgia" w:cs="georgia" w:ascii="georgia" w:hAnsi="georgia"/>
          <w:color w:val="000000"/>
          <w:sz w:val="21"/>
        </w:rPr>
        <w:t xml:space="preserve">, applications listed including "</w:t>
      </w:r>
      <w:r>
        <w:rPr>
          <w:rFonts w:eastAsia="georgia" w:cs="georgia" w:ascii="georgia" w:hAnsi="georgia"/>
          <w:b/>
          <w:color w:val="000000"/>
          <w:sz w:val="21"/>
        </w:rPr>
        <w:t xml:space="preserve">Defense applications, High-performance computers, Telecommunications</w:t>
      </w:r>
      <w:r>
        <w:rPr>
          <w:rFonts w:eastAsia="georgia" w:cs="georgia" w:ascii="georgia" w:hAnsi="georgia"/>
          <w:color w:val="000000"/>
          <w:sz w:val="21"/>
        </w:rPr>
        <w:t xml:space="preserve">"</w:t>
      </w:r>
    </w:p>
    <w:p>
      <w:pPr>
        <w:numPr>
          <w:ilvl w:val="0"/>
          <w:numId w:val="7"/>
        </w:numPr>
        <w:spacing w:line="360" w:before="105" w:after="105" w:lineRule="auto"/>
      </w:pPr>
      <w:r>
        <w:rPr>
          <w:rFonts w:eastAsia="georgia" w:cs="georgia" w:ascii="georgia" w:hAnsi="georgia"/>
          <w:color w:val="000000"/>
          <w:sz w:val="21"/>
        </w:rPr>
        <w:t xml:space="preserve">Optoelectronic devices (LEDs, lasers, satellites) — 20%</w:t>
      </w:r>
    </w:p>
    <w:p>
      <w:pPr>
        <w:spacing w:line="360" w:after="210" w:lineRule="auto"/>
      </w:pPr>
      <w:r>
        <w:rPr>
          <w:rFonts w:eastAsia="georgia" w:cs="georgia" w:ascii="georgia" w:hAnsi="georgia"/>
          <w:color w:val="000000"/>
        </w:rPr>
        <w:t xml:space="preserve">Solar cell use: gallium goes into multi-junction GaAs solar cells used almost exclusively for satellites. Terrestrial silicon solar PV uses essentially no gallium. So almost no fraction of 2024 gallium production was for civilian solar panels.</w:t>
      </w:r>
    </w:p>
    <w:p>
      <w:pPr>
        <w:spacing w:line="360" w:after="210" w:lineRule="auto"/>
      </w:pPr>
      <w:r>
        <w:rPr>
          <w:rFonts w:eastAsia="georgia" w:cs="georgia" w:ascii="georgia" w:hAnsi="georgia"/>
          <w:color w:val="000000"/>
        </w:rPr>
        <w:t xml:space="preserve">What did the world need 760 tonnes of gallium for? Radar chips, mobile-phone amplifiers, 5G base stations, F-35 and Patriot AESA radar transmit-receive modules. China explicitly banned exports of gallium and germanium to the US in December 2024 (</w:t>
      </w:r>
      <w:hyperlink r:id="rId18">
        <w:r>
          <w:rPr>
            <w:rFonts w:eastAsia="helvetica neue" w:cs="helvetica neue" w:ascii="helvetica neue" w:hAnsi="helvetica neue"/>
            <w:color w:val="#000"/>
            <w:u w:val="single"/>
          </w:rPr>
          <w:t xml:space="preserve">Chinese Ministry of Commerce, 3 Dec 2024</w:t>
        </w:r>
      </w:hyperlink>
      <w:r>
        <w:rPr>
          <w:rFonts w:eastAsia="georgia" w:cs="georgia" w:ascii="georgia" w:hAnsi="georgia"/>
          <w:color w:val="000000"/>
        </w:rPr>
        <w:t xml:space="preserve">) and cited "national security" — i.e. its military end-use was so obvious it became the lever.</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1" w:name="phosphate_fertiliser_vs_white_phosphorus"/>
      <w:r>
        <w:rPr>
          <w:rFonts w:eastAsia="georgia" w:cs="georgia" w:ascii="georgia" w:hAnsi="georgia"/>
          <w:b/>
          <w:color w:val="000000"/>
          <w:sz w:val="24"/>
        </w:rPr>
        <w:t xml:space="preserve">Phosphate — fertiliser vs. white phosphorus</w:t>
      </w:r>
      <w:bookmarkEnd w:id="11"/>
    </w:p>
    <w:p>
      <w:pPr>
        <w:spacing w:line="360" w:after="210" w:lineRule="auto"/>
      </w:pPr>
      <w:r>
        <w:rPr>
          <w:rFonts w:eastAsia="georgia" w:cs="georgia" w:ascii="georgia" w:hAnsi="georgia"/>
          <w:color w:val="000000"/>
        </w:rPr>
        <w:t xml:space="preserve">USGS world phosphate rock 2024 = ~240 Mt. About 80% becomes fertiliser (food). Of the remaining 20%, the slice that gets converted to elemental (white/yellow) phosphorus is small in absolute terms — but the elemental-phosphorus chain is also what feeds white-phosphorus munitions.</w:t>
      </w:r>
    </w:p>
    <w:p>
      <w:pPr>
        <w:spacing w:line="360" w:after="210" w:lineRule="auto"/>
      </w:pPr>
      <w:r>
        <w:rPr>
          <w:rFonts w:eastAsia="georgia" w:cs="georgia" w:ascii="georgia" w:hAnsi="georgia"/>
          <w:color w:val="000000"/>
        </w:rPr>
        <w:t xml:space="preserve">US CDC verbatim (</w:t>
      </w:r>
      <w:hyperlink r:id="rId19">
        <w:r>
          <w:rPr>
            <w:rFonts w:eastAsia="helvetica neue" w:cs="helvetica neue" w:ascii="helvetica neue" w:hAnsi="helvetica neue"/>
            <w:color w:val="#000"/>
            <w:u w:val="single"/>
          </w:rPr>
          <w:t xml:space="preserve">CDC/NIOSH</w:t>
        </w:r>
      </w:hyperlink>
      <w:r>
        <w:rPr>
          <w:rFonts w:eastAsia="georgia" w:cs="georgia" w:ascii="georgia" w:hAnsi="georgia"/>
          <w:color w:val="000000"/>
        </w:rPr>
        <w:t xml:space="preserve">): white phosphorus </w:t>
      </w:r>
      <w:r>
        <w:rPr>
          <w:rFonts w:eastAsia="georgia" w:cs="georgia" w:ascii="georgia" w:hAnsi="georgia"/>
          <w:i/>
          <w:color w:val="000000"/>
        </w:rPr>
        <w:t xml:space="preserve">"is an extremely flammable solid… typically igniting at approximately 86°F (30°C)… releases dense, white irritating fumes."</w:t>
      </w:r>
    </w:p>
    <w:p>
      <w:pPr>
        <w:spacing w:line="360" w:after="210" w:lineRule="auto"/>
      </w:pPr>
      <w:r>
        <w:rPr>
          <w:rFonts w:eastAsia="georgia" w:cs="georgia" w:ascii="georgia" w:hAnsi="georgia"/>
          <w:color w:val="000000"/>
        </w:rPr>
        <w:t xml:space="preserve">Human Rights Watch confirmed Israeli use of white phosphorus 155mm M825 shells in Gaza and South Lebanon in October 2023 (</w:t>
      </w:r>
      <w:hyperlink r:id="rId20">
        <w:r>
          <w:rPr>
            <w:rFonts w:eastAsia="helvetica neue" w:cs="helvetica neue" w:ascii="helvetica neue" w:hAnsi="helvetica neue"/>
            <w:color w:val="#000"/>
            <w:u w:val="single"/>
          </w:rPr>
          <w:t xml:space="preserve">HRW</w:t>
        </w:r>
      </w:hyperlink>
      <w:r>
        <w:rPr>
          <w:rFonts w:eastAsia="georgia" w:cs="georgia" w:ascii="georgia" w:hAnsi="georgia"/>
          <w:color w:val="000000"/>
        </w:rPr>
        <w:t xml:space="preserve">).</w:t>
      </w:r>
    </w:p>
    <w:p>
      <w:pPr>
        <w:spacing w:line="360" w:after="210" w:lineRule="auto"/>
      </w:pPr>
      <w:r>
        <w:rPr>
          <w:rFonts w:eastAsia="georgia" w:cs="georgia" w:ascii="georgia" w:hAnsi="georgia"/>
          <w:color w:val="000000"/>
        </w:rPr>
        <w:t xml:space="preserve">Volume answer: the food story is true (most phosphate is fertiliser). But the supply chain that feeds children also feeds the burn shell. ICL Group, formerly Dead Sea Works, formerly Palestine Potash Ltd, also operates Boulby Mine on the North York Moors — the same company, the same chain, since the British Empire.</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2" w:name="pulling_it_together_what_the_volu_9228e5"/>
      <w:r>
        <w:rPr>
          <w:rFonts w:eastAsia="georgia" w:cs="georgia" w:ascii="georgia" w:hAnsi="georgia"/>
          <w:b/>
          <w:color w:val="000000"/>
          <w:sz w:val="24"/>
        </w:rPr>
        <w:t xml:space="preserve">Pulling it together — what the volume audit shows</w:t>
      </w:r>
      <w:bookmarkEnd w:id="12"/>
    </w:p>
    <w:p>
      <w:pPr>
        <w:spacing w:line="360" w:after="210" w:lineRule="auto"/>
      </w:pPr>
      <w:r>
        <w:rPr>
          <w:rFonts w:eastAsia="georgia" w:cs="georgia" w:ascii="georgia" w:hAnsi="georgia"/>
          <w:color w:val="000000"/>
        </w:rPr>
        <w:t xml:space="preserve">Take the European Commission's 2024 list of strategic raw materials. For each major one, look at how much was actually mined in 2024, and how much went where:</w:t>
      </w:r>
    </w:p>
    <w:tbl>
      <w:tblPr>
        <w:tblStyle w:val="TableGrid"/>
        <w:jc w:val="center"/>
        <w:tblCellSpacing w:w="0" w:type="dxa"/>
        <w:tblBorders>
          <w:top w:val="single" w:sz="2" w:space="0" w:color="000000"/>
          <w:left w:val="single" w:sz="2" w:space="0" w:color="000000"/>
          <w:bottom w:val="single" w:sz="2" w:space="0" w:color="000000"/>
          <w:right w:val="single" w:sz="2" w:space="0" w:color="000000"/>
        </w:tblBorders>
        <w:tblCellMar>
          <w:top w:type="dxa" w:w="80"/>
          <w:left w:type="dxa" w:w="160"/>
          <w:bottom w:type="dxa" w:w="80"/>
          <w:right w:type="dxa" w:w="160"/>
        </w:tblCellMar>
      </w:tblPr>
      <w:tblGrid>
        <w:gridCol w:w="2378"/>
        <w:gridCol w:w="2378"/>
        <w:gridCol w:w="2378"/>
        <w:gridCol w:w="2378"/>
      </w:tblGrid>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Mineral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World 2024 mine production</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What % was actually consumed by 2024 solar + wind + EV builds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Where the rest went</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Copper</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23 Mt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~9.5%</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42% to building construction; the rest to grid, transport, electronics — including defence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Silicon metal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4.6 Mt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~36% (solar only)</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Aluminium alloying for cars / planes; silicones; semiconductors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Lithium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240,000 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~63% (EV batteries)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Consumer electronics; lithium-6 for warheads (small but strategic)</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Cobalt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290,000 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Up to ~40-50% (EVs, declining as LFP replaces NMC)</w:t>
            </w:r>
          </w:p>
        </w:tc>
        <w:tc>
          <w:tcPr>
            <w:tcBorders>
              <w:top w:val="single" w:sz="1" w:space="0" w:color="000000"/>
              <w:bottom w:val="single" w:sz="1" w:space="0" w:color="000000"/>
            </w:tcBorders>
          </w:tcPr>
          <w:p>
            <w:pPr>
              <w:spacing w:line="360" w:lineRule="auto"/>
            </w:pPr>
            <w:r>
              <w:rPr>
                <w:rFonts w:eastAsia="georgia" w:cs="georgia" w:ascii="georgia" w:hAnsi="georgia"/>
                <w:b/>
                <w:color w:val="000000"/>
                <w:sz w:val="17"/>
              </w:rPr>
              <w:t xml:space="preserve">51% of US use to jet-engine turbine disks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Nickel</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3.7 Mt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~20%</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85% to stainless and alloy steel — including armour plate</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Neodymium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~74,000 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~33% (wind + EV magnets)</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Same Nd-Fe-B magnets in F-35 fins, missile actuators, drone motors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Antimony</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100,000 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~5% (solar glass)</w:t>
            </w:r>
          </w:p>
        </w:tc>
        <w:tc>
          <w:tcPr>
            <w:tcBorders>
              <w:top w:val="single" w:sz="1" w:space="0" w:color="000000"/>
              <w:bottom w:val="single" w:sz="1" w:space="0" w:color="000000"/>
            </w:tcBorders>
          </w:tcPr>
          <w:p>
            <w:pPr>
              <w:spacing w:line="360" w:lineRule="auto"/>
            </w:pPr>
            <w:r>
              <w:rPr>
                <w:rFonts w:eastAsia="georgia" w:cs="georgia" w:ascii="georgia" w:hAnsi="georgia"/>
                <w:b/>
                <w:color w:val="000000"/>
                <w:sz w:val="17"/>
              </w:rPr>
              <w:t xml:space="preserve">40% to ammunition (US)</w:t>
            </w:r>
            <w:r>
              <w:rPr>
                <w:rFonts w:eastAsia="helvetica neue" w:cs="helvetica neue" w:ascii="helvetica neue" w:hAnsi="helvetica neue"/>
                <w:color w:val="000000"/>
                <w:sz w:val="17"/>
              </w:rPr>
              <w:t xml:space="preserve">; 39% to flame retardants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Gallium</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760 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~0% (silicon PV doesn't need it)</w:t>
            </w:r>
          </w:p>
        </w:tc>
        <w:tc>
          <w:tcPr>
            <w:tcBorders>
              <w:top w:val="single" w:sz="1" w:space="0" w:color="000000"/>
              <w:bottom w:val="single" w:sz="1" w:space="0" w:color="000000"/>
            </w:tcBorders>
          </w:tcPr>
          <w:p>
            <w:pPr>
              <w:spacing w:line="360" w:lineRule="auto"/>
            </w:pPr>
            <w:r>
              <w:rPr>
                <w:rFonts w:eastAsia="georgia" w:cs="georgia" w:ascii="georgia" w:hAnsi="georgia"/>
                <w:b/>
                <w:color w:val="000000"/>
                <w:sz w:val="17"/>
              </w:rPr>
              <w:t xml:space="preserve">79% to integrated circuits</w:t>
            </w:r>
            <w:r>
              <w:rPr>
                <w:rFonts w:eastAsia="helvetica neue" w:cs="helvetica neue" w:ascii="helvetica neue" w:hAnsi="helvetica neue"/>
                <w:color w:val="000000"/>
                <w:sz w:val="17"/>
              </w:rPr>
              <w:t xml:space="preserve">, including F-35 radar, Patriot, Aegis</w:t>
            </w:r>
          </w:p>
        </w:tc>
      </w:tr>
      <w:tr>
        <w:trPr>
          <w:cantSplit/>
        </w:trPr>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Phosphate rock</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240 Mt</w:t>
            </w:r>
          </w:p>
        </w:tc>
        <w:tc>
          <w:tcPr>
            <w:tcBorders>
              <w:top w:val="single" w:sz="1" w:space="0" w:color="000000"/>
              <w:bottom w:val="single" w:sz="1" w:space="0" w:color="000000"/>
              <w:right w:val="single" w:sz="1" w:space="0" w:color="000000"/>
            </w:tcBorders>
          </w:tcPr>
          <w:p>
            <w:pPr>
              <w:spacing w:line="360" w:lineRule="auto"/>
            </w:pPr>
            <w:r>
              <w:rPr>
                <w:rFonts w:eastAsia="helvetica neue" w:cs="helvetica neue" w:ascii="helvetica neue" w:hAnsi="helvetica neue"/>
                <w:color w:val="000000"/>
                <w:sz w:val="17"/>
              </w:rPr>
              <w:t xml:space="preserve">n/a — for food</w:t>
            </w:r>
          </w:p>
        </w:tc>
        <w:tc>
          <w:tcPr>
            <w:tcBorders>
              <w:top w:val="single" w:sz="1" w:space="0" w:color="000000"/>
              <w:bottom w:val="single" w:sz="1" w:space="0" w:color="000000"/>
            </w:tcBorders>
          </w:tcPr>
          <w:p>
            <w:pPr>
              <w:spacing w:line="360" w:lineRule="auto"/>
            </w:pPr>
            <w:r>
              <w:rPr>
                <w:rFonts w:eastAsia="helvetica neue" w:cs="helvetica neue" w:ascii="helvetica neue" w:hAnsi="helvetica neue"/>
                <w:color w:val="000000"/>
                <w:sz w:val="17"/>
              </w:rPr>
              <w:t xml:space="preserve">80% fertiliser; a small share routed to elemental P including white-phosphorus munitions</w:t>
            </w:r>
          </w:p>
        </w:tc>
      </w:tr>
    </w:tbl>
    <w:p>
      <w:pPr>
        <w:spacing w:lineRule="auto"/>
      </w:pPr>
    </w:p>
    <w:p>
      <w:pPr>
        <w:spacing w:line="360" w:after="210" w:lineRule="auto"/>
      </w:pPr>
      <w:r>
        <w:rPr>
          <w:rFonts w:eastAsia="georgia" w:cs="georgia" w:ascii="georgia" w:hAnsi="georgia"/>
          <w:b/>
          <w:color w:val="000000"/>
        </w:rPr>
        <w:t xml:space="preserve">Three things this table shows that you cannot say with the JPM/Commission framing:</w:t>
      </w:r>
    </w:p>
    <w:p>
      <w:pPr>
        <w:numPr>
          <w:ilvl w:val="0"/>
          <w:numId w:val="8"/>
        </w:numPr>
        <w:spacing w:line="360" w:after="210" w:lineRule="auto"/>
      </w:pPr>
      <w:r>
        <w:rPr>
          <w:rFonts w:eastAsia="georgia" w:cs="georgia" w:ascii="georgia" w:hAnsi="georgia"/>
          <w:b/>
          <w:color w:val="000000"/>
          <w:sz w:val="21"/>
        </w:rPr>
        <w:t xml:space="preserve">Solar PV is genuinely a silicon and copper story.</w:t>
      </w:r>
      <w:r>
        <w:rPr>
          <w:rFonts w:eastAsia="georgia" w:cs="georgia" w:ascii="georgia" w:hAnsi="georgia"/>
          <w:color w:val="000000"/>
          <w:sz w:val="21"/>
        </w:rPr>
        <w:t xml:space="preserve"> It is not an antimony story, not a gallium story, not a tungsten story, not a hafnium story, not a fluorspar story, not a beryllium story. The "critical minerals for the energy transition" pitch silently rolls fifty other minerals into one bracket so the public hears "solar" and accepts a pipeline that includes ammunition and missile chips.</w:t>
      </w:r>
    </w:p>
    <w:p>
      <w:pPr>
        <w:numPr>
          <w:ilvl w:val="0"/>
          <w:numId w:val="8"/>
        </w:numPr>
        <w:spacing w:line="360" w:after="210" w:lineRule="auto"/>
      </w:pPr>
      <w:r>
        <w:rPr>
          <w:rFonts w:eastAsia="georgia" w:cs="georgia" w:ascii="georgia" w:hAnsi="georgia"/>
          <w:b/>
          <w:color w:val="000000"/>
          <w:sz w:val="21"/>
        </w:rPr>
        <w:t xml:space="preserve">For the metals where solar/wind/EVs really do dominate demand — silicon, lithium, much of cobalt and nickel — the alternative use is also industrial/military.</w:t>
      </w:r>
      <w:r>
        <w:rPr>
          <w:rFonts w:eastAsia="georgia" w:cs="georgia" w:ascii="georgia" w:hAnsi="georgia"/>
          <w:color w:val="000000"/>
          <w:sz w:val="21"/>
        </w:rPr>
        <w:t xml:space="preserve"> Cobalt: half of US use is jet-engine superalloys. Nickel: 85% is steel including armour. Lithium: tiny but real isotope slice is thermonuclear.</w:t>
      </w:r>
    </w:p>
    <w:p>
      <w:pPr>
        <w:numPr>
          <w:ilvl w:val="0"/>
          <w:numId w:val="8"/>
        </w:numPr>
        <w:spacing w:line="360" w:after="210" w:lineRule="auto"/>
      </w:pPr>
      <w:r>
        <w:rPr>
          <w:rFonts w:eastAsia="georgia" w:cs="georgia" w:ascii="georgia" w:hAnsi="georgia"/>
          <w:b/>
          <w:color w:val="000000"/>
          <w:sz w:val="21"/>
        </w:rPr>
        <w:t xml:space="preserve">For the metals that are mostly military — antimony, gallium, germanium, beryllium, hafnium, tungsten, tantalum, fluorspar — bundling them into the "green minerals" framework lets governments pass extraction laws under the energy-transition banner that would never pass under a defence-procurement banner.</w:t>
      </w:r>
    </w:p>
    <w:p>
      <w:pPr>
        <w:spacing w:line="360" w:after="210" w:lineRule="auto"/>
      </w:pPr>
      <w:r>
        <w:rPr>
          <w:rFonts w:eastAsia="georgia" w:cs="georgia" w:ascii="georgia" w:hAnsi="georgia"/>
          <w:color w:val="000000"/>
        </w:rPr>
        <w:t xml:space="preserve">The EU Critical Raw Materials Act gives strategic projects a 27-month extraction permit and a 15-month processing permit. A mine that would have failed under environmental review on its own gets fast-tracked because it is on the same list as solar-grade silicon and lithium. A mine for ammunition antimony gets the same permit treatment as a mine for battery lithium.</w:t>
      </w:r>
    </w:p>
    <w:p>
      <w:pPr>
        <w:spacing w:line="360" w:after="210" w:lineRule="auto"/>
      </w:pPr>
      <w:r>
        <w:rPr>
          <w:rFonts w:eastAsia="georgia" w:cs="georgia" w:ascii="georgia" w:hAnsi="georgia"/>
          <w:color w:val="000000"/>
        </w:rPr>
        <w:t xml:space="preserve">That is what "the green transition" means in volume terms. Not a lie, exactly — silicon really does go to solar. A category mistake, on purpose. They merged the food supply chain and the bullet supply chain into one regulation, and then named it after solar panels.</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3" w:name="what_this_means_for_a_chase_accou_876b87"/>
      <w:r>
        <w:rPr>
          <w:rFonts w:eastAsia="georgia" w:cs="georgia" w:ascii="georgia" w:hAnsi="georgia"/>
          <w:b/>
          <w:color w:val="000000"/>
          <w:sz w:val="24"/>
        </w:rPr>
        <w:t xml:space="preserve">What this means for a Chase account holder</w:t>
      </w:r>
      <w:bookmarkEnd w:id="13"/>
    </w:p>
    <w:p>
      <w:pPr>
        <w:spacing w:line="360" w:after="210" w:lineRule="auto"/>
      </w:pPr>
      <w:r>
        <w:rPr>
          <w:rFonts w:eastAsia="georgia" w:cs="georgia" w:ascii="georgia" w:hAnsi="georgia"/>
          <w:color w:val="000000"/>
        </w:rPr>
        <w:t xml:space="preserve">The world built 452 GW of solar in 2024. That genuinely needs ~1.65 Mt of silicon metal and ~1.28 Mt of copper. Those are the real "solar minerals" by volume.</w:t>
      </w:r>
    </w:p>
    <w:p>
      <w:pPr>
        <w:spacing w:line="360" w:after="210" w:lineRule="auto"/>
      </w:pPr>
      <w:r>
        <w:rPr>
          <w:rFonts w:eastAsia="georgia" w:cs="georgia" w:ascii="georgia" w:hAnsi="georgia"/>
          <w:color w:val="000000"/>
        </w:rPr>
        <w:t xml:space="preserve">Everything else on the 34-element list — antimony, gallium, germanium, hafnium, beryllium, niobium, tungsten, tantalum, fluorspar, rare earths (in their high-temperature, military-grade form), lithium-6, white phosphorus — the volumes do not line up with solar deployment. They line up with the order books of Lockheed Martin, General Dynamics, BAE Systems, Raytheon, Rolls-Royce, Northrop Grumman.</w:t>
      </w:r>
    </w:p>
    <w:p>
      <w:pPr>
        <w:spacing w:line="360" w:after="210" w:lineRule="auto"/>
      </w:pPr>
      <w:hyperlink r:id="rId21">
        <w:r>
          <w:rPr>
            <w:rFonts w:eastAsia="helvetica neue" w:cs="helvetica neue" w:ascii="helvetica neue" w:hAnsi="helvetica neue"/>
            <w:color w:val="#000"/>
            <w:u w:val="single"/>
          </w:rPr>
          <w:t xml:space="preserve">PAX / ICAN, </w:t>
        </w:r>
        <w:r>
          <w:rPr>
            <w:rFonts w:eastAsia="helvetica neue" w:cs="helvetica neue" w:ascii="helvetica neue" w:hAnsi="helvetica neue"/>
            <w:i/>
            <w:color w:val="#000"/>
            <w:u w:val="single"/>
          </w:rPr>
          <w:t xml:space="preserve">Don't Bank on the Bomb 2026</w:t>
        </w:r>
      </w:hyperlink>
      <w:r>
        <w:rPr>
          <w:rFonts w:eastAsia="georgia" w:cs="georgia" w:ascii="georgia" w:hAnsi="georgia"/>
          <w:color w:val="000000"/>
        </w:rPr>
        <w:t xml:space="preserve"> ranks JPMorgan Chase as the world's </w:t>
      </w:r>
      <w:r>
        <w:rPr>
          <w:rFonts w:eastAsia="georgia" w:cs="georgia" w:ascii="georgia" w:hAnsi="georgia"/>
          <w:b/>
          <w:color w:val="000000"/>
        </w:rPr>
        <w:t xml:space="preserve">#2 lender ($38.2 billion) and #1 underwriter</w:t>
      </w:r>
      <w:r>
        <w:rPr>
          <w:rFonts w:eastAsia="georgia" w:cs="georgia" w:ascii="georgia" w:hAnsi="georgia"/>
          <w:color w:val="000000"/>
        </w:rPr>
        <w:t xml:space="preserve"> to companies building nuclear weapons.</w:t>
      </w:r>
    </w:p>
    <w:p>
      <w:pPr>
        <w:spacing w:line="360" w:after="210" w:lineRule="auto"/>
      </w:pPr>
      <w:r>
        <w:rPr>
          <w:rFonts w:eastAsia="georgia" w:cs="georgia" w:ascii="georgia" w:hAnsi="georgia"/>
          <w:color w:val="000000"/>
        </w:rPr>
        <w:t xml:space="preserve">The bank's own </w:t>
      </w:r>
      <w:hyperlink r:id="rId22">
        <w:r>
          <w:rPr>
            <w:rFonts w:eastAsia="helvetica neue" w:cs="helvetica neue" w:ascii="helvetica neue" w:hAnsi="helvetica neue"/>
            <w:color w:val="#000"/>
            <w:u w:val="single"/>
          </w:rPr>
          <w:t xml:space="preserve">Industrials &amp; Aerospace book</w:t>
        </w:r>
      </w:hyperlink>
      <w:r>
        <w:rPr>
          <w:rFonts w:eastAsia="georgia" w:cs="georgia" w:ascii="georgia" w:hAnsi="georgia"/>
          <w:color w:val="000000"/>
        </w:rPr>
        <w:t xml:space="preserve"> finances roughly half a trillion in defence-aerospace exposure. Its </w:t>
      </w:r>
      <w:hyperlink r:id="rId23">
        <w:r>
          <w:rPr>
            <w:rFonts w:eastAsia="helvetica neue" w:cs="helvetica neue" w:ascii="helvetica neue" w:hAnsi="helvetica neue"/>
            <w:color w:val="#000"/>
            <w:u w:val="single"/>
          </w:rPr>
          <w:t xml:space="preserve">nuclear-energy-trends page</w:t>
        </w:r>
      </w:hyperlink>
      <w:r>
        <w:rPr>
          <w:rFonts w:eastAsia="georgia" w:cs="georgia" w:ascii="georgia" w:hAnsi="georgia"/>
          <w:color w:val="000000"/>
        </w:rPr>
        <w:t xml:space="preserve"> is filed under "Sustainability / Carbon Transition." Same desk. Same balance sheet.</w:t>
      </w:r>
    </w:p>
    <w:p>
      <w:pPr>
        <w:spacing w:line="360" w:after="210" w:lineRule="auto"/>
      </w:pPr>
      <w:r>
        <w:rPr>
          <w:rFonts w:eastAsia="georgia" w:cs="georgia" w:ascii="georgia" w:hAnsi="georgia"/>
          <w:color w:val="000000"/>
        </w:rPr>
        <w:t xml:space="preserve">This is not analysis. This is arithmetic.</w:t>
      </w:r>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14" w:name="primary_sources_all_linked_inline_above"/>
      <w:r>
        <w:rPr>
          <w:rFonts w:eastAsia="georgia" w:cs="georgia" w:ascii="georgia" w:hAnsi="georgia"/>
          <w:b/>
          <w:color w:val="000000"/>
          <w:sz w:val="24"/>
        </w:rPr>
        <w:t xml:space="preserve">Primary sources (all linked inline above)</w:t>
      </w:r>
      <w:bookmarkEnd w:id="14"/>
    </w:p>
    <w:p>
      <w:pPr>
        <w:numPr>
          <w:ilvl w:val="0"/>
          <w:numId w:val="9"/>
        </w:numPr>
        <w:spacing w:line="360" w:before="105" w:after="105" w:lineRule="auto"/>
      </w:pPr>
      <w:r>
        <w:rPr>
          <w:rFonts w:eastAsia="georgia" w:cs="georgia" w:ascii="georgia" w:hAnsi="georgia"/>
          <w:color w:val="000000"/>
          <w:sz w:val="21"/>
        </w:rPr>
        <w:t xml:space="preserve">USGS Mineral Commodity Summaries 2025 — each mineral file</w:t>
      </w:r>
    </w:p>
    <w:p>
      <w:pPr>
        <w:numPr>
          <w:ilvl w:val="0"/>
          <w:numId w:val="9"/>
        </w:numPr>
        <w:spacing w:line="360" w:before="105" w:after="105" w:lineRule="auto"/>
      </w:pPr>
      <w:r>
        <w:rPr>
          <w:rFonts w:eastAsia="georgia" w:cs="georgia" w:ascii="georgia" w:hAnsi="georgia"/>
          <w:color w:val="000000"/>
          <w:sz w:val="21"/>
        </w:rPr>
        <w:t xml:space="preserve">IRENA Renewable Capacity Statistics 2025</w:t>
      </w:r>
    </w:p>
    <w:p>
      <w:pPr>
        <w:numPr>
          <w:ilvl w:val="0"/>
          <w:numId w:val="9"/>
        </w:numPr>
        <w:spacing w:line="360" w:before="105" w:after="105" w:lineRule="auto"/>
      </w:pPr>
      <w:r>
        <w:rPr>
          <w:rFonts w:eastAsia="georgia" w:cs="georgia" w:ascii="georgia" w:hAnsi="georgia"/>
          <w:color w:val="000000"/>
          <w:sz w:val="21"/>
        </w:rPr>
        <w:t xml:space="preserve">GWEC Global Wind Report 2025</w:t>
      </w:r>
    </w:p>
    <w:p>
      <w:pPr>
        <w:numPr>
          <w:ilvl w:val="0"/>
          <w:numId w:val="9"/>
        </w:numPr>
        <w:spacing w:line="360" w:before="105" w:after="105" w:lineRule="auto"/>
      </w:pPr>
      <w:r>
        <w:rPr>
          <w:rFonts w:eastAsia="georgia" w:cs="georgia" w:ascii="georgia" w:hAnsi="georgia"/>
          <w:color w:val="000000"/>
          <w:sz w:val="21"/>
        </w:rPr>
        <w:t xml:space="preserve">IEA, The Role of Critical Minerals in Clean Energy Transitions, 2021</w:t>
      </w:r>
    </w:p>
    <w:p>
      <w:pPr>
        <w:numPr>
          <w:ilvl w:val="0"/>
          <w:numId w:val="9"/>
        </w:numPr>
        <w:spacing w:line="360" w:before="105" w:after="105" w:lineRule="auto"/>
      </w:pPr>
      <w:r>
        <w:rPr>
          <w:rFonts w:eastAsia="georgia" w:cs="georgia" w:ascii="georgia" w:hAnsi="georgia"/>
          <w:color w:val="000000"/>
          <w:sz w:val="21"/>
        </w:rPr>
        <w:t xml:space="preserve">US Congressional Research Service R41347 — Rare Earth Elements</w:t>
      </w:r>
    </w:p>
    <w:p>
      <w:pPr>
        <w:numPr>
          <w:ilvl w:val="0"/>
          <w:numId w:val="9"/>
        </w:numPr>
        <w:spacing w:line="360" w:before="105" w:after="105" w:lineRule="auto"/>
      </w:pPr>
      <w:r>
        <w:rPr>
          <w:rFonts w:eastAsia="georgia" w:cs="georgia" w:ascii="georgia" w:hAnsi="georgia"/>
          <w:color w:val="000000"/>
          <w:sz w:val="21"/>
        </w:rPr>
        <w:t xml:space="preserve">US Congressional Research Service R47559 — Critical Minerals in DoD Supply Chain</w:t>
      </w:r>
    </w:p>
    <w:p>
      <w:pPr>
        <w:numPr>
          <w:ilvl w:val="0"/>
          <w:numId w:val="9"/>
        </w:numPr>
        <w:spacing w:line="360" w:before="105" w:after="105" w:lineRule="auto"/>
      </w:pPr>
      <w:r>
        <w:rPr>
          <w:rFonts w:eastAsia="georgia" w:cs="georgia" w:ascii="georgia" w:hAnsi="georgia"/>
          <w:color w:val="000000"/>
          <w:sz w:val="21"/>
        </w:rPr>
        <w:t xml:space="preserve">Perpetua Resources / US Department of Defense DPA Title III announcements</w:t>
      </w:r>
    </w:p>
    <w:p>
      <w:pPr>
        <w:numPr>
          <w:ilvl w:val="0"/>
          <w:numId w:val="9"/>
        </w:numPr>
        <w:spacing w:line="360" w:before="105" w:after="105" w:lineRule="auto"/>
      </w:pPr>
      <w:r>
        <w:rPr>
          <w:rFonts w:eastAsia="georgia" w:cs="georgia" w:ascii="georgia" w:hAnsi="georgia"/>
          <w:color w:val="000000"/>
          <w:sz w:val="21"/>
        </w:rPr>
        <w:t xml:space="preserve">US CDC/NIOSH Emergency Response Database — White Phosphorus</w:t>
      </w:r>
    </w:p>
    <w:p>
      <w:pPr>
        <w:numPr>
          <w:ilvl w:val="0"/>
          <w:numId w:val="9"/>
        </w:numPr>
        <w:spacing w:line="360" w:before="105" w:after="105" w:lineRule="auto"/>
      </w:pPr>
      <w:r>
        <w:rPr>
          <w:rFonts w:eastAsia="georgia" w:cs="georgia" w:ascii="georgia" w:hAnsi="georgia"/>
          <w:color w:val="000000"/>
          <w:sz w:val="21"/>
        </w:rPr>
        <w:t xml:space="preserve">Human Rights Watch — White Phosphorus in Gaza/Lebanon, Oct 2023</w:t>
      </w:r>
    </w:p>
    <w:p>
      <w:pPr>
        <w:numPr>
          <w:ilvl w:val="0"/>
          <w:numId w:val="9"/>
        </w:numPr>
        <w:spacing w:line="360" w:before="105" w:after="105" w:lineRule="auto"/>
      </w:pPr>
      <w:r>
        <w:rPr>
          <w:rFonts w:eastAsia="georgia" w:cs="georgia" w:ascii="georgia" w:hAnsi="georgia"/>
          <w:color w:val="000000"/>
          <w:sz w:val="21"/>
        </w:rPr>
        <w:t xml:space="preserve">European Commission — Critical Raw Materials Act (Regulation 2024/1252)</w:t>
      </w:r>
    </w:p>
    <w:p>
      <w:pPr>
        <w:numPr>
          <w:ilvl w:val="0"/>
          <w:numId w:val="9"/>
        </w:numPr>
        <w:spacing w:line="360" w:before="105" w:after="105" w:lineRule="auto"/>
      </w:pPr>
      <w:r>
        <w:rPr>
          <w:rFonts w:eastAsia="georgia" w:cs="georgia" w:ascii="georgia" w:hAnsi="georgia"/>
          <w:color w:val="000000"/>
          <w:sz w:val="21"/>
        </w:rPr>
        <w:t xml:space="preserve">PAX / ICAN — Don't Bank on the Bomb 2026</w:t>
      </w:r>
    </w:p>
    <w:p>
      <w:pPr>
        <w:numPr>
          <w:ilvl w:val="0"/>
          <w:numId w:val="9"/>
        </w:numPr>
        <w:spacing w:line="360" w:before="105" w:after="105" w:lineRule="auto"/>
      </w:pPr>
      <w:r>
        <w:rPr>
          <w:rFonts w:eastAsia="georgia" w:cs="georgia" w:ascii="georgia" w:hAnsi="georgia"/>
          <w:color w:val="000000"/>
          <w:sz w:val="21"/>
        </w:rPr>
        <w:t xml:space="preserve">SIPRI Military Expenditure Database</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georgia">
    <w:family w:val="auto"/>
    <w:pitch w:val="variable"/>
  </w:font>
  <w:font w:name="helvetica neue">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decimal"/>
      <w:lvlText w:val="%1."/>
      <w:lvlJc w:val="left"/>
      <w:pPr>
        <w:tabs>
          <w:tab w:val="num" w:pos="900"/>
        </w:tabs>
        <w:ind w:left="540" w:hanging="360"/>
      </w:p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 w:type="table" w:default="1" w:styleId="TableNormal">
    <w:name w:val="Normal Table"/>
    <w:uiPriority w:val="99"/>
    <w:semiHidden/>
    <w:unhideWhenUsed/>
    <w:tblPr>
      <w:tblInd w:w="0" w:type="dxa"/>
      <w:tblCellMar>
        <w:top w:w="80" w:type="dxa"/>
        <w:left w:w="160" w:type="dxa"/>
        <w:bottom w:w="80" w:type="dxa"/>
        <w:right w:w="160" w:type="dxa"/>
      </w:tblCellMar>
    </w:tblPr>
  </w:style>
  <w:style w:type="table" w:styleId="TableGrid">
    <w:name w:val="Normal Grid"/>
    <w:basedOn w:val="TableNormal"/>
    <w:uiPriority w:val="39"/>
    <w:pPr>
      <w:spacing w:after="0" w:line="240" w:lineRule="auto"/>
    </w:pPr>
    <w:tblPr>
      <w:tblInd w:w="0" w:type="dxa"/>
      <w:tblCellMar>
        <w:top w:w="80" w:type="dxa"/>
        <w:left w:w="160" w:type="dxa"/>
        <w:bottom w:w="80" w:type="dxa"/>
        <w:right w:w="160" w:type="dxa"/>
      </w:tblCellMar>
    </w:tbl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pubs.usgs.gov/periodicals/mcs2025/" TargetMode="External"/><Relationship Id="rId6" Type="http://schemas.openxmlformats.org/officeDocument/2006/relationships/hyperlink" Target="https://www.irena.org/Publications/2025/Mar/Renewable-capacity-statistics-2025" TargetMode="External"/><Relationship Id="rId7" Type="http://schemas.openxmlformats.org/officeDocument/2006/relationships/hyperlink" Target="https://www.gwec.net/global-wind-report" TargetMode="External"/><Relationship Id="rId8" Type="http://schemas.openxmlformats.org/officeDocument/2006/relationships/hyperlink" Target="https://www.iea.org/reports/the-role-of-critical-minerals-in-clean-energy-transitions" TargetMode="External"/><Relationship Id="rId9" Type="http://schemas.openxmlformats.org/officeDocument/2006/relationships/hyperlink" Target="https://www.irena.org/News/pressreleases/2025/Mar/Record-Breaking-Annual-Growth-in-Renewable-Power-Capacity" TargetMode="External"/><Relationship Id="rId10" Type="http://schemas.openxmlformats.org/officeDocument/2006/relationships/hyperlink" Target="https://www.gwec.net/global-wind-report" TargetMode="External"/><Relationship Id="rId11" Type="http://schemas.openxmlformats.org/officeDocument/2006/relationships/hyperlink" Target="https://pubs.usgs.gov/periodicals/mcs2025/mcs2025-copper.pdf" TargetMode="External"/><Relationship Id="rId12" Type="http://schemas.openxmlformats.org/officeDocument/2006/relationships/hyperlink" Target="https://iea.blob.core.windows.net/assets/ffd2a83b-8c30-4e9d-980a-52b6d9a86fdc/TheRoleofCriticalMineralsinCleanEnergyTransitions.pdf" TargetMode="External"/><Relationship Id="rId13" Type="http://schemas.openxmlformats.org/officeDocument/2006/relationships/hyperlink" Target="https://www.y12.doe.gov/" TargetMode="External"/><Relationship Id="rId14" Type="http://schemas.openxmlformats.org/officeDocument/2006/relationships/hyperlink" Target="https://pubs.usgs.gov/periodicals/mcs2025/mcs2025-cobalt.pdf" TargetMode="External"/><Relationship Id="rId15" Type="http://schemas.openxmlformats.org/officeDocument/2006/relationships/hyperlink" Target="https://crsreports.congress.gov/product/pdf/R/R47559" TargetMode="External"/><Relationship Id="rId16" Type="http://schemas.openxmlformats.org/officeDocument/2006/relationships/hyperlink" Target="https://crsreports.congress.gov/product/pdf/R/R41347" TargetMode="External"/><Relationship Id="rId17" Type="http://schemas.openxmlformats.org/officeDocument/2006/relationships/hyperlink" Target="https://www.investors.perpetuaresources.com/investors/news/perpetua-resources-receives-up-to-an-additional-34-million-under-the-defense-production-act" TargetMode="External"/><Relationship Id="rId18" Type="http://schemas.openxmlformats.org/officeDocument/2006/relationships/hyperlink" Target="http://www.mofcom.gov.cn/article/zwgk/gkzcfb/202412/20241203559046.shtml" TargetMode="External"/><Relationship Id="rId19" Type="http://schemas.openxmlformats.org/officeDocument/2006/relationships/hyperlink" Target="https://www.cdc.gov/niosh/ershdb/emergencyresponsecard_29750025.html" TargetMode="External"/><Relationship Id="rId20" Type="http://schemas.openxmlformats.org/officeDocument/2006/relationships/hyperlink" Target="https://www.hrw.org/news/2023/10/12/lebanon-israel-white-phosphorus-use-gaza-lebanon" TargetMode="External"/><Relationship Id="rId21" Type="http://schemas.openxmlformats.org/officeDocument/2006/relationships/hyperlink" Target="https://www.dontbankonthebomb.com/" TargetMode="External"/><Relationship Id="rId22" Type="http://schemas.openxmlformats.org/officeDocument/2006/relationships/hyperlink" Target="https://www.jpmorgan.com/insights/sustainability/carbon-transition" TargetMode="External"/><Relationship Id="rId23" Type="http://schemas.openxmlformats.org/officeDocument/2006/relationships/hyperlink" Target="https://www.jpmorgan.com/insights/sustainability/carbon-transition/2025-nuclear-energy-trends-from-green-economy-experts"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2026-05-20T14:13:18.443Z</dcterms:created>
  <dcterms:modified xsi:type="dcterms:W3CDTF">2026-05-20T14:13:18.443Z</dcterms:modified>
</cp:coreProperties>
</file>