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glass_steagall_j_p_morgan_and_clinton"/>
      <w:r>
        <w:rPr>
          <w:rFonts w:eastAsia="georgia" w:cs="georgia" w:ascii="georgia" w:hAnsi="georgia"/>
          <w:b/>
          <w:color w:val="000000"/>
          <w:sz w:val="39"/>
        </w:rPr>
        <w:t xml:space="preserve">Glass-Steagall, J.P. Morgan, and Clinton</w:t>
      </w:r>
      <w:bookmarkEnd w:id="0"/>
    </w:p>
    <w:p>
      <w:pPr>
        <w:spacing w:line="360" w:after="210" w:lineRule="auto"/>
      </w:pPr>
      <w:r>
        <w:rPr>
          <w:rFonts w:eastAsia="georgia" w:cs="georgia" w:ascii="georgia" w:hAnsi="georgia"/>
          <w:color w:val="000000"/>
        </w:rPr>
        <w:t xml:space="preserve">A primary-source record of how J.P. Morgan was the </w:t>
      </w:r>
      <w:r>
        <w:rPr>
          <w:rFonts w:eastAsia="georgia" w:cs="georgia" w:ascii="georgia" w:hAnsi="georgia"/>
          <w:b/>
          <w:color w:val="000000"/>
        </w:rPr>
        <w:t xml:space="preserve">lead institutional driver</w:t>
      </w:r>
      <w:r>
        <w:rPr>
          <w:rFonts w:eastAsia="georgia" w:cs="georgia" w:ascii="georgia" w:hAnsi="georgia"/>
          <w:color w:val="000000"/>
        </w:rPr>
        <w:t xml:space="preserve"> of the dismantling of Glass-Steagall — a decade before formal repeal — and of how Clinton's economic team finished the job in 1999.</w:t>
      </w:r>
    </w:p>
    <w:p>
      <w:pPr>
        <w:spacing w:line="360" w:after="210" w:lineRule="auto"/>
      </w:pPr>
      <w:r>
        <w:rPr>
          <w:rFonts w:eastAsia="georgia" w:cs="georgia" w:ascii="georgia" w:hAnsi="georgia"/>
          <w:color w:val="000000"/>
        </w:rPr>
        <w:t xml:space="preserve">This is one story with two halves. The first half (1987–1996) is technical: the Federal Reserve, prompted by J.P. Morgan applications, used a "Section 20 loophole" to hollow out Glass-Steagall while it was still law. The second half (1997–1999) is political: Citigroup announced a merger that was illegal under the statute, and Clinton's Treasury Secretary (a former Goldman Sachs Co-Chairman) and Fed Chair (Greenspan) declined to enforce the statute, then helped pass Gramm-Leach-Bliley to retroactively legalise the merger. J.P. Morgan benefited directly: it was, by then, already operating as a universal bank under the Section 20 framework it had built.</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 w:name="bm_1_what_glass_steagall_was_in_p_2ce327"/>
      <w:r>
        <w:rPr>
          <w:rFonts w:eastAsia="georgia" w:cs="georgia" w:ascii="georgia" w:hAnsi="georgia"/>
          <w:b/>
          <w:color w:val="000000"/>
          <w:sz w:val="24"/>
        </w:rPr>
        <w:t xml:space="preserve">1. What Glass-Steagall Was, In Plain Words</w:t>
      </w:r>
      <w:bookmarkEnd w:id="1"/>
    </w:p>
    <w:p>
      <w:pPr>
        <w:spacing w:line="360" w:after="210" w:lineRule="auto"/>
      </w:pPr>
      <w:r>
        <w:rPr>
          <w:rFonts w:eastAsia="georgia" w:cs="georgia" w:ascii="georgia" w:hAnsi="georgia"/>
          <w:color w:val="000000"/>
        </w:rPr>
        <w:t xml:space="preserve">The </w:t>
      </w:r>
      <w:r>
        <w:rPr>
          <w:rFonts w:eastAsia="georgia" w:cs="georgia" w:ascii="georgia" w:hAnsi="georgia"/>
          <w:b/>
          <w:color w:val="000000"/>
        </w:rPr>
        <w:t xml:space="preserve">Banking Act of 1933</w:t>
      </w:r>
      <w:r>
        <w:rPr>
          <w:rFonts w:eastAsia="georgia" w:cs="georgia" w:ascii="georgia" w:hAnsi="georgia"/>
          <w:color w:val="000000"/>
        </w:rPr>
        <w:t xml:space="preserve"> — passed in the trough of the Great Depression — contained four provisions, jointly known as Glass-Steagall after senators Carter Glass (D-VA) and Henry Steagall (D-AL):</w:t>
      </w:r>
    </w:p>
    <w:p>
      <w:pPr>
        <w:numPr>
          <w:ilvl w:val="0"/>
          <w:numId w:val="1"/>
        </w:numPr>
        <w:spacing w:line="360" w:before="105" w:after="105" w:lineRule="auto"/>
      </w:pPr>
      <w:r>
        <w:rPr>
          <w:rFonts w:eastAsia="georgia" w:cs="georgia" w:ascii="georgia" w:hAnsi="georgia"/>
          <w:b/>
          <w:color w:val="000000"/>
          <w:sz w:val="21"/>
        </w:rPr>
        <w:t xml:space="preserve">Section 16</w:t>
      </w:r>
      <w:r>
        <w:rPr>
          <w:rFonts w:eastAsia="georgia" w:cs="georgia" w:ascii="georgia" w:hAnsi="georgia"/>
          <w:color w:val="000000"/>
          <w:sz w:val="21"/>
        </w:rPr>
        <w:t xml:space="preserve"> — commercial banks may not underwrite or deal in non-government securities.</w:t>
      </w:r>
    </w:p>
    <w:p>
      <w:pPr>
        <w:numPr>
          <w:ilvl w:val="0"/>
          <w:numId w:val="1"/>
        </w:numPr>
        <w:spacing w:line="360" w:before="105" w:after="105" w:lineRule="auto"/>
      </w:pPr>
      <w:r>
        <w:rPr>
          <w:rFonts w:eastAsia="georgia" w:cs="georgia" w:ascii="georgia" w:hAnsi="georgia"/>
          <w:b/>
          <w:color w:val="000000"/>
          <w:sz w:val="21"/>
        </w:rPr>
        <w:t xml:space="preserve">Section 20</w:t>
      </w:r>
      <w:r>
        <w:rPr>
          <w:rFonts w:eastAsia="georgia" w:cs="georgia" w:ascii="georgia" w:hAnsi="georgia"/>
          <w:color w:val="000000"/>
          <w:sz w:val="21"/>
        </w:rPr>
        <w:t xml:space="preserve"> — banks that are members of the Federal Reserve System may not </w:t>
      </w:r>
      <w:r>
        <w:rPr>
          <w:rFonts w:eastAsia="georgia" w:cs="georgia" w:ascii="georgia" w:hAnsi="georgia"/>
          <w:b/>
          <w:color w:val="000000"/>
          <w:sz w:val="21"/>
        </w:rPr>
        <w:t xml:space="preserve">affiliate</w:t>
      </w:r>
      <w:r>
        <w:rPr>
          <w:rFonts w:eastAsia="georgia" w:cs="georgia" w:ascii="georgia" w:hAnsi="georgia"/>
          <w:color w:val="000000"/>
          <w:sz w:val="21"/>
        </w:rPr>
        <w:t xml:space="preserve"> with firms "engaged principally" in securities underwriting.</w:t>
      </w:r>
    </w:p>
    <w:p>
      <w:pPr>
        <w:numPr>
          <w:ilvl w:val="0"/>
          <w:numId w:val="1"/>
        </w:numPr>
        <w:spacing w:line="360" w:before="105" w:after="105" w:lineRule="auto"/>
      </w:pPr>
      <w:r>
        <w:rPr>
          <w:rFonts w:eastAsia="georgia" w:cs="georgia" w:ascii="georgia" w:hAnsi="georgia"/>
          <w:b/>
          <w:color w:val="000000"/>
          <w:sz w:val="21"/>
        </w:rPr>
        <w:t xml:space="preserve">Section 21</w:t>
      </w:r>
      <w:r>
        <w:rPr>
          <w:rFonts w:eastAsia="georgia" w:cs="georgia" w:ascii="georgia" w:hAnsi="georgia"/>
          <w:color w:val="000000"/>
          <w:sz w:val="21"/>
        </w:rPr>
        <w:t xml:space="preserve"> — securities firms may not take deposits.</w:t>
      </w:r>
    </w:p>
    <w:p>
      <w:pPr>
        <w:numPr>
          <w:ilvl w:val="0"/>
          <w:numId w:val="1"/>
        </w:numPr>
        <w:spacing w:line="360" w:before="105" w:after="105" w:lineRule="auto"/>
      </w:pPr>
      <w:r>
        <w:rPr>
          <w:rFonts w:eastAsia="georgia" w:cs="georgia" w:ascii="georgia" w:hAnsi="georgia"/>
          <w:b/>
          <w:color w:val="000000"/>
          <w:sz w:val="21"/>
        </w:rPr>
        <w:t xml:space="preserve">Section 32</w:t>
      </w:r>
      <w:r>
        <w:rPr>
          <w:rFonts w:eastAsia="georgia" w:cs="georgia" w:ascii="georgia" w:hAnsi="georgia"/>
          <w:color w:val="000000"/>
          <w:sz w:val="21"/>
        </w:rPr>
        <w:t xml:space="preserve"> — no interlocking officers, directors, or employees between a member bank and a securities firm.</w:t>
      </w:r>
    </w:p>
    <w:p>
      <w:pPr>
        <w:spacing w:line="360" w:after="210" w:lineRule="auto"/>
      </w:pPr>
      <w:r>
        <w:rPr>
          <w:rFonts w:eastAsia="georgia" w:cs="georgia" w:ascii="georgia" w:hAnsi="georgia"/>
          <w:color w:val="000000"/>
        </w:rPr>
        <w:t xml:space="preserve">The whole point of the architecture was to </w:t>
      </w:r>
      <w:r>
        <w:rPr>
          <w:rFonts w:eastAsia="georgia" w:cs="georgia" w:ascii="georgia" w:hAnsi="georgia"/>
          <w:b/>
          <w:color w:val="000000"/>
        </w:rPr>
        <w:t xml:space="preserve">separate the institution that holds the public's deposits from the institution that gambles in the market</w:t>
      </w:r>
      <w:r>
        <w:rPr>
          <w:rFonts w:eastAsia="georgia" w:cs="georgia" w:ascii="georgia" w:hAnsi="georgia"/>
          <w:color w:val="000000"/>
        </w:rPr>
        <w:t xml:space="preserve">. The 1929 crash had exposed that when those two functions sat under the same roof, depositors' savings could be marched into speculative positions. Glass-Steagall said: no, you may hold deposits </w:t>
      </w:r>
      <w:r>
        <w:rPr>
          <w:rFonts w:eastAsia="georgia" w:cs="georgia" w:ascii="georgia" w:hAnsi="georgia"/>
          <w:i/>
          <w:color w:val="000000"/>
        </w:rPr>
        <w:t xml:space="preserve">or</w:t>
      </w:r>
      <w:r>
        <w:rPr>
          <w:rFonts w:eastAsia="georgia" w:cs="georgia" w:ascii="georgia" w:hAnsi="georgia"/>
          <w:color w:val="000000"/>
        </w:rPr>
        <w:t xml:space="preserve"> you may underwrite securities. Not both.</w:t>
      </w:r>
    </w:p>
    <w:p>
      <w:pPr>
        <w:spacing w:line="360" w:after="210" w:lineRule="auto"/>
      </w:pPr>
      <w:r>
        <w:rPr>
          <w:rFonts w:eastAsia="georgia" w:cs="georgia" w:ascii="georgia" w:hAnsi="georgia"/>
          <w:color w:val="000000"/>
        </w:rPr>
        <w:t xml:space="preserve">The repeal in 1999 was overwhelmingly the repeal of Sections 20 and 32 — the </w:t>
      </w:r>
      <w:r>
        <w:rPr>
          <w:rFonts w:eastAsia="georgia" w:cs="georgia" w:ascii="georgia" w:hAnsi="georgia"/>
          <w:b/>
          <w:color w:val="000000"/>
        </w:rPr>
        <w:t xml:space="preserve">affiliation</w:t>
      </w:r>
      <w:r>
        <w:rPr>
          <w:rFonts w:eastAsia="georgia" w:cs="georgia" w:ascii="georgia" w:hAnsi="georgia"/>
          <w:color w:val="000000"/>
        </w:rPr>
        <w:t xml:space="preserve"> provisions. After that point, one corporate parent (a "financial holding company") could own a deposit-taking bank, an investment bank, an insurance company, and a securities broker simultaneously. The architectural separation collapsed.</w:t>
      </w:r>
    </w:p>
    <w:p>
      <w:pPr>
        <w:spacing w:line="360" w:after="210" w:lineRule="auto"/>
      </w:pPr>
      <w:r>
        <w:rPr>
          <w:rFonts w:eastAsia="georgia" w:cs="georgia" w:ascii="georgia" w:hAnsi="georgia"/>
          <w:color w:val="000000"/>
        </w:rPr>
        <w:t xml:space="preserve">The two paragraphs below are everything you need to know about how it died — and J.P. Morgan is the lead actor in the first, and the principal indirect beneficiary of the second.</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2" w:name="bm_2_the_first_half_j_p_morgan_bu_d16eb1"/>
      <w:r>
        <w:rPr>
          <w:rFonts w:eastAsia="georgia" w:cs="georgia" w:ascii="georgia" w:hAnsi="georgia"/>
          <w:b/>
          <w:color w:val="000000"/>
          <w:sz w:val="24"/>
        </w:rPr>
        <w:t xml:space="preserve">2. The First Half — J.P. Morgan Builds The Loophole (1987–1996)</w:t>
      </w:r>
      <w:bookmarkEnd w:id="2"/>
    </w:p>
    <w:p>
      <w:pPr>
        <w:spacing w:line="360" w:after="210" w:lineRule="auto"/>
      </w:pPr>
      <w:r>
        <w:rPr>
          <w:rFonts w:eastAsia="georgia" w:cs="georgia" w:ascii="georgia" w:hAnsi="georgia"/>
          <w:color w:val="000000"/>
        </w:rPr>
        <w:t xml:space="preserve">Glass-Steagall was not killed by Citigroup in 1998. It was </w:t>
      </w:r>
      <w:r>
        <w:rPr>
          <w:rFonts w:eastAsia="georgia" w:cs="georgia" w:ascii="georgia" w:hAnsi="georgia"/>
          <w:b/>
          <w:color w:val="000000"/>
        </w:rPr>
        <w:t xml:space="preserve">hollowed out a decade earlier</w:t>
      </w:r>
      <w:r>
        <w:rPr>
          <w:rFonts w:eastAsia="georgia" w:cs="georgia" w:ascii="georgia" w:hAnsi="georgia"/>
          <w:color w:val="000000"/>
        </w:rPr>
        <w:t xml:space="preserve"> by Federal Reserve orders issued in response to J.P. Morgan applications. By the time Citigroup's merger forced the political fight, the architecture was already gone in practice.</w:t>
      </w:r>
    </w:p>
    <w:p>
      <w:pPr>
        <w:spacing w:line="360" w:before="315" w:after="105" w:lineRule="auto"/>
        <w:ind w:left="-30"/>
        <w:jc w:val="left"/>
      </w:pPr>
      <w:bookmarkStart w:id="3" w:name="bm_2_1_the_section_20_loophole_wh_419f75"/>
      <w:r>
        <w:rPr>
          <w:rFonts w:eastAsia="georgia" w:cs="georgia" w:ascii="georgia" w:hAnsi="georgia"/>
          <w:b/>
          <w:color w:val="000000"/>
          <w:sz w:val="24"/>
        </w:rPr>
        <w:t xml:space="preserve">2.1 The "Section 20 loophole" — what it was</w:t>
      </w:r>
      <w:bookmarkEnd w:id="3"/>
    </w:p>
    <w:p>
      <w:pPr>
        <w:spacing w:line="360" w:after="210" w:lineRule="auto"/>
      </w:pPr>
      <w:r>
        <w:rPr>
          <w:rFonts w:eastAsia="georgia" w:cs="georgia" w:ascii="georgia" w:hAnsi="georgia"/>
          <w:color w:val="000000"/>
        </w:rPr>
        <w:t xml:space="preserve">Section 20 prohibited a member bank from affiliating with a firm "engaged principally" in securities underwriting. In 1987 the Federal Reserve, under Alan Greenspan (sworn in August 1987), issued an interpretation that "engaged principally" could be quantified — and that if a bank's affiliated securities subsidiary kept </w:t>
      </w:r>
      <w:r>
        <w:rPr>
          <w:rFonts w:eastAsia="georgia" w:cs="georgia" w:ascii="georgia" w:hAnsi="georgia"/>
          <w:b/>
          <w:color w:val="000000"/>
        </w:rPr>
        <w:t xml:space="preserve">less than 5 percent</w:t>
      </w:r>
      <w:r>
        <w:rPr>
          <w:rFonts w:eastAsia="georgia" w:cs="georgia" w:ascii="georgia" w:hAnsi="georgia"/>
          <w:color w:val="000000"/>
        </w:rPr>
        <w:t xml:space="preserve"> of its revenue from "ineligible securities" underwriting, it would not be "engaged principally" in such activity. This was the legal birth of what came to be called </w:t>
      </w:r>
      <w:r>
        <w:rPr>
          <w:rFonts w:eastAsia="georgia" w:cs="georgia" w:ascii="georgia" w:hAnsi="georgia"/>
          <w:b/>
          <w:color w:val="000000"/>
        </w:rPr>
        <w:t xml:space="preserve">Section 20 subsidiaries</w:t>
      </w:r>
      <w:r>
        <w:rPr>
          <w:rFonts w:eastAsia="georgia" w:cs="georgia" w:ascii="georgia" w:hAnsi="georgia"/>
          <w:color w:val="000000"/>
        </w:rPr>
        <w:t xml:space="preserve">.</w:t>
      </w:r>
    </w:p>
    <w:p>
      <w:pPr>
        <w:spacing w:line="360" w:after="210" w:lineRule="auto"/>
      </w:pPr>
      <w:r>
        <w:rPr>
          <w:rFonts w:eastAsia="georgia" w:cs="georgia" w:ascii="georgia" w:hAnsi="georgia"/>
          <w:color w:val="000000"/>
        </w:rPr>
        <w:t xml:space="preserve">The 5 percent cap was raised to </w:t>
      </w:r>
      <w:r>
        <w:rPr>
          <w:rFonts w:eastAsia="georgia" w:cs="georgia" w:ascii="georgia" w:hAnsi="georgia"/>
          <w:b/>
          <w:color w:val="000000"/>
        </w:rPr>
        <w:t xml:space="preserve">10 percent in 1989</w:t>
      </w:r>
      <w:r>
        <w:rPr>
          <w:rFonts w:eastAsia="georgia" w:cs="georgia" w:ascii="georgia" w:hAnsi="georgia"/>
          <w:color w:val="000000"/>
        </w:rPr>
        <w:t xml:space="preserve">, then to </w:t>
      </w:r>
      <w:r>
        <w:rPr>
          <w:rFonts w:eastAsia="georgia" w:cs="georgia" w:ascii="georgia" w:hAnsi="georgia"/>
          <w:b/>
          <w:color w:val="000000"/>
        </w:rPr>
        <w:t xml:space="preserve">25 percent in December 1996</w:t>
      </w:r>
      <w:r>
        <w:rPr>
          <w:rFonts w:eastAsia="georgia" w:cs="georgia" w:ascii="georgia" w:hAnsi="georgia"/>
          <w:color w:val="000000"/>
        </w:rPr>
        <w:t xml:space="preserve"> (</w:t>
      </w:r>
      <w:hyperlink r:id="rId5">
        <w:r>
          <w:rPr>
            <w:rFonts w:eastAsia="helvetica neue" w:cs="helvetica neue" w:ascii="helvetica neue" w:hAnsi="helvetica neue"/>
            <w:color w:val="#000"/>
            <w:u w:val="single"/>
          </w:rPr>
          <w:t xml:space="preserve">PBS Frontline, </w:t>
        </w:r>
        <w:r>
          <w:rPr>
            <w:rFonts w:eastAsia="helvetica neue" w:cs="helvetica neue" w:ascii="helvetica neue" w:hAnsi="helvetica neue"/>
            <w:i/>
            <w:color w:val="#000"/>
            <w:u w:val="single"/>
          </w:rPr>
          <w:t xml:space="preserve">Mr. Weill Goes to Washington</w:t>
        </w:r>
      </w:hyperlink>
      <w:r>
        <w:rPr>
          <w:rFonts w:eastAsia="georgia" w:cs="georgia" w:ascii="georgia" w:hAnsi="georgia"/>
          <w:color w:val="000000"/>
        </w:rPr>
        <w:t xml:space="preserve">). At 25 percent, virtually any bank holding company wanting to do securities underwriting could stay under the cap simply by maintaining a large enough non-underwriting revenue base. Glass-Steagall was, in PBS's words, "effectively rendered obsolete" by the 1996 Fed decision — three years before Congress formally repealed it.</w:t>
      </w:r>
    </w:p>
    <w:p>
      <w:pPr>
        <w:spacing w:line="360" w:before="315" w:after="105" w:lineRule="auto"/>
        <w:ind w:left="-30"/>
        <w:jc w:val="left"/>
      </w:pPr>
      <w:bookmarkStart w:id="4" w:name="bm_2_2_j_p_morgan_s_specific_appl_e3f14b"/>
      <w:r>
        <w:rPr>
          <w:rFonts w:eastAsia="georgia" w:cs="georgia" w:ascii="georgia" w:hAnsi="georgia"/>
          <w:b/>
          <w:color w:val="000000"/>
          <w:sz w:val="24"/>
        </w:rPr>
        <w:t xml:space="preserve">2.2 J.P. Morgan's specific applications — the primary record</w:t>
      </w:r>
      <w:bookmarkEnd w:id="4"/>
    </w:p>
    <w:p>
      <w:pPr>
        <w:spacing w:line="360" w:after="210" w:lineRule="auto"/>
      </w:pPr>
      <w:r>
        <w:rPr>
          <w:rFonts w:eastAsia="georgia" w:cs="georgia" w:ascii="georgia" w:hAnsi="georgia"/>
          <w:b/>
          <w:color w:val="000000"/>
        </w:rPr>
        <w:t xml:space="preserve">22 November 1989 — Federal Reserve Board Order approving J.P. Morgan Securities Inc. as agent in private placement of all types of securities</w:t>
      </w:r>
      <w:r>
        <w:rPr>
          <w:rFonts w:eastAsia="georgia" w:cs="georgia" w:ascii="georgia" w:hAnsi="georgia"/>
          <w:color w:val="000000"/>
        </w:rPr>
        <w:t xml:space="preserve"> (</w:t>
      </w:r>
      <w:hyperlink r:id="rId6">
        <w:r>
          <w:rPr>
            <w:rFonts w:eastAsia="helvetica neue" w:cs="helvetica neue" w:ascii="helvetica neue" w:hAnsi="helvetica neue"/>
            <w:color w:val="#000"/>
            <w:u w:val="single"/>
          </w:rPr>
          <w:t xml:space="preserve">SEC Historical Society, FRB Order, 22 Nov 1989</w:t>
        </w:r>
      </w:hyperlink>
      <w:r>
        <w:rPr>
          <w:rFonts w:eastAsia="georgia" w:cs="georgia" w:ascii="georgia" w:hAnsi="georgia"/>
          <w:color w:val="000000"/>
        </w:rPr>
        <w:t xml:space="preserve">).</w:t>
      </w:r>
    </w:p>
    <w:p>
      <w:pPr>
        <w:spacing w:line="360" w:after="210" w:lineRule="auto"/>
      </w:pPr>
      <w:r>
        <w:rPr>
          <w:rFonts w:eastAsia="georgia" w:cs="georgia" w:ascii="georgia" w:hAnsi="georgia"/>
          <w:color w:val="000000"/>
        </w:rPr>
        <w:t xml:space="preserve">The Board's own order language:</w:t>
      </w:r>
    </w:p>
    <w:p>
      <w:pPr>
        <w:spacing w:line="360" w:after="210" w:lineRule="auto"/>
        <w:ind w:left="630"/>
      </w:pPr>
      <w:r>
        <w:rPr>
          <w:rFonts w:eastAsia="georgia" w:cs="georgia" w:ascii="georgia" w:hAnsi="georgia"/>
          <w:color w:val="000000"/>
        </w:rPr>
        <w:t xml:space="preserve">"J.P. Morgan &amp; Company Incorporated, New York, New York … for its subsidiary, J.P. Morgan Securities Inc., New York, New York … to act as agent in the private placement of all types of securities, including providing related advisory services, and to buy and sell all types of securities on the order of investors as a 'riskless principal'."</w:t>
      </w:r>
    </w:p>
    <w:p>
      <w:pPr>
        <w:spacing w:line="360" w:after="210" w:lineRule="auto"/>
      </w:pPr>
      <w:r>
        <w:rPr>
          <w:rFonts w:eastAsia="georgia" w:cs="georgia" w:ascii="georgia" w:hAnsi="georgia"/>
          <w:color w:val="000000"/>
        </w:rPr>
        <w:t xml:space="preserve">This order is the founding document of universal banking under the Glass-Steagall regime. J.P. Morgan asked the Fed for the right to place "all types of securities" — corporate bonds, asset-backed securities, equities — for its corporate clients. The Fed agreed.</w:t>
      </w:r>
    </w:p>
    <w:p>
      <w:pPr>
        <w:spacing w:line="360" w:after="210" w:lineRule="auto"/>
      </w:pPr>
      <w:r>
        <w:rPr>
          <w:rFonts w:eastAsia="georgia" w:cs="georgia" w:ascii="georgia" w:hAnsi="georgia"/>
          <w:color w:val="000000"/>
        </w:rPr>
        <w:t xml:space="preserve">The 1989 order also did something significant: it permitted J.P. Morgan's </w:t>
      </w:r>
      <w:r>
        <w:rPr>
          <w:rFonts w:eastAsia="georgia" w:cs="georgia" w:ascii="georgia" w:hAnsi="georgia"/>
          <w:i/>
          <w:color w:val="000000"/>
        </w:rPr>
        <w:t xml:space="preserve">commercial bank</w:t>
      </w:r>
      <w:r>
        <w:rPr>
          <w:rFonts w:eastAsia="georgia" w:cs="georgia" w:ascii="georgia" w:hAnsi="georgia"/>
          <w:color w:val="000000"/>
        </w:rPr>
        <w:t xml:space="preserve"> to lend to issuers whose debt securities had been placed by the </w:t>
      </w:r>
      <w:r>
        <w:rPr>
          <w:rFonts w:eastAsia="georgia" w:cs="georgia" w:ascii="georgia" w:hAnsi="georgia"/>
          <w:i/>
          <w:color w:val="000000"/>
        </w:rPr>
        <w:t xml:space="preserve">Section 20 subsidiary</w:t>
      </w:r>
      <w:r>
        <w:rPr>
          <w:rFonts w:eastAsia="georgia" w:cs="georgia" w:ascii="georgia" w:hAnsi="georgia"/>
          <w:color w:val="000000"/>
        </w:rPr>
        <w:t xml:space="preserve">, so long as the credit decision was made independently. The order grudgingly acknowledges the conflict-of-interest risk ("the objectivity and sound judgment of banks and other affiliates of section 20 subsidiaries would not be impaired by the placement or underwriting profit that the section 20 subsidiary would receive"), then permits the practice anyway with internal-policy guardrails.</w:t>
      </w:r>
    </w:p>
    <w:p>
      <w:pPr>
        <w:spacing w:line="360" w:after="210" w:lineRule="auto"/>
      </w:pPr>
      <w:r>
        <w:rPr>
          <w:rFonts w:eastAsia="georgia" w:cs="georgia" w:ascii="georgia" w:hAnsi="georgia"/>
          <w:color w:val="000000"/>
        </w:rPr>
        <w:t xml:space="preserve">This is the moment commercial banks were authorised to </w:t>
      </w:r>
      <w:r>
        <w:rPr>
          <w:rFonts w:eastAsia="georgia" w:cs="georgia" w:ascii="georgia" w:hAnsi="georgia"/>
          <w:b/>
          <w:color w:val="000000"/>
        </w:rPr>
        <w:t xml:space="preserve">lend to the issuer whose bonds they were placing</w:t>
      </w:r>
      <w:r>
        <w:rPr>
          <w:rFonts w:eastAsia="georgia" w:cs="georgia" w:ascii="georgia" w:hAnsi="georgia"/>
          <w:color w:val="000000"/>
        </w:rPr>
        <w:t xml:space="preserve"> — i.e. to be on both sides of the wire. The 2008 crisis ran on exactly this architecture, two decades later.</w:t>
      </w:r>
    </w:p>
    <w:p>
      <w:pPr>
        <w:spacing w:line="360" w:after="210" w:lineRule="auto"/>
      </w:pPr>
      <w:r>
        <w:rPr>
          <w:rFonts w:eastAsia="georgia" w:cs="georgia" w:ascii="georgia" w:hAnsi="georgia"/>
          <w:b/>
          <w:color w:val="000000"/>
        </w:rPr>
        <w:t xml:space="preserve">20 September 1990 — Federal Reserve grants J.P. Morgan permission to underwrite and deal in corporate equities</w:t>
      </w:r>
      <w:r>
        <w:rPr>
          <w:rFonts w:eastAsia="georgia" w:cs="georgia" w:ascii="georgia" w:hAnsi="georgia"/>
          <w:color w:val="000000"/>
        </w:rPr>
        <w:t xml:space="preserve"> (</w:t>
      </w:r>
      <w:hyperlink r:id="rId7">
        <w:r>
          <w:rPr>
            <w:rFonts w:eastAsia="helvetica neue" w:cs="helvetica neue" w:ascii="helvetica neue" w:hAnsi="helvetica neue"/>
            <w:color w:val="#000"/>
            <w:u w:val="single"/>
          </w:rPr>
          <w:t xml:space="preserve">LA Times, 21 September 1990</w:t>
        </w:r>
      </w:hyperlink>
      <w:r>
        <w:rPr>
          <w:rFonts w:eastAsia="georgia" w:cs="georgia" w:ascii="georgia" w:hAnsi="georgia"/>
          <w:color w:val="000000"/>
        </w:rPr>
        <w:t xml:space="preserve">):</w:t>
      </w:r>
    </w:p>
    <w:p>
      <w:pPr>
        <w:spacing w:line="360" w:after="210" w:lineRule="auto"/>
        <w:ind w:left="630"/>
      </w:pPr>
      <w:r>
        <w:rPr>
          <w:rFonts w:eastAsia="georgia" w:cs="georgia" w:ascii="georgia" w:hAnsi="georgia"/>
          <w:color w:val="000000"/>
        </w:rPr>
        <w:t xml:space="preserve">"The Federal Reserve Board gave a unit of the New York banking firm J.P. Morgan &amp; Co. permission Thursday to underwrite and deal in stocks on a limited basis, </w:t>
      </w:r>
      <w:r>
        <w:rPr>
          <w:rFonts w:eastAsia="georgia" w:cs="georgia" w:ascii="georgia" w:hAnsi="georgia"/>
          <w:b/>
          <w:color w:val="000000"/>
        </w:rPr>
        <w:t xml:space="preserve">the biggest crack yet in the Depression-era wall separating commercial and investment banking</w:t>
      </w:r>
      <w:r>
        <w:rPr>
          <w:rFonts w:eastAsia="georgia" w:cs="georgia" w:ascii="georgia" w:hAnsi="georgia"/>
          <w:color w:val="000000"/>
        </w:rPr>
        <w:t xml:space="preserve">."</w:t>
      </w:r>
    </w:p>
    <w:p>
      <w:pPr>
        <w:spacing w:line="360" w:after="210" w:lineRule="auto"/>
        <w:ind w:left="630"/>
      </w:pPr>
      <w:r>
        <w:rPr>
          <w:rFonts w:eastAsia="georgia" w:cs="georgia" w:ascii="georgia" w:hAnsi="georgia"/>
          <w:color w:val="000000"/>
        </w:rPr>
        <w:t xml:space="preserve">"The Fed had indicated that it might approve the underwriting of stock by banks in January 1989, when it gave J.P. Morgan </w:t>
      </w:r>
      <w:r>
        <w:rPr>
          <w:rFonts w:eastAsia="georgia" w:cs="georgia" w:ascii="georgia" w:hAnsi="georgia"/>
          <w:b/>
          <w:color w:val="000000"/>
        </w:rPr>
        <w:t xml:space="preserve">and three other banking firms</w:t>
      </w:r>
      <w:r>
        <w:rPr>
          <w:rFonts w:eastAsia="georgia" w:cs="georgia" w:ascii="georgia" w:hAnsi="georgia"/>
          <w:color w:val="000000"/>
        </w:rPr>
        <w:t xml:space="preserve"> permission to underwrite corporate debt through subsidiaries that are separate from their banks."</w:t>
      </w:r>
    </w:p>
    <w:p>
      <w:pPr>
        <w:spacing w:line="360" w:after="210" w:lineRule="auto"/>
      </w:pPr>
      <w:r>
        <w:rPr>
          <w:rFonts w:eastAsia="georgia" w:cs="georgia" w:ascii="georgia" w:hAnsi="georgia"/>
          <w:color w:val="000000"/>
        </w:rPr>
        <w:t xml:space="preserve">This is the primary news report of the decision. J.P. Morgan was the </w:t>
      </w:r>
      <w:r>
        <w:rPr>
          <w:rFonts w:eastAsia="georgia" w:cs="georgia" w:ascii="georgia" w:hAnsi="georgia"/>
          <w:b/>
          <w:color w:val="000000"/>
        </w:rPr>
        <w:t xml:space="preserve">first US commercial bank since the Great Depression</w:t>
      </w:r>
      <w:r>
        <w:rPr>
          <w:rFonts w:eastAsia="georgia" w:cs="georgia" w:ascii="georgia" w:hAnsi="georgia"/>
          <w:color w:val="000000"/>
        </w:rPr>
        <w:t xml:space="preserve"> authorised to underwrite corporate stock. As </w:t>
      </w:r>
      <w:hyperlink r:id="rId8">
        <w:r>
          <w:rPr>
            <w:rFonts w:eastAsia="helvetica neue" w:cs="helvetica neue" w:ascii="helvetica neue" w:hAnsi="helvetica neue"/>
            <w:color w:val="#000"/>
            <w:u w:val="single"/>
          </w:rPr>
          <w:t xml:space="preserve">Salon's 2015 retrospective</w:t>
        </w:r>
      </w:hyperlink>
      <w:r>
        <w:rPr>
          <w:rFonts w:eastAsia="georgia" w:cs="georgia" w:ascii="georgia" w:hAnsi="georgia"/>
          <w:color w:val="000000"/>
        </w:rPr>
        <w:t xml:space="preserve"> put it, "JPMorgan Securities, the investment banking subsidiary of JPMorgan Chase, became the first bank subsidiary since the Great Depression to lead a corporate bond underwriting."</w:t>
      </w:r>
    </w:p>
    <w:p>
      <w:pPr>
        <w:spacing w:line="360" w:after="210" w:lineRule="auto"/>
      </w:pPr>
      <w:r>
        <w:rPr>
          <w:rFonts w:eastAsia="georgia" w:cs="georgia" w:ascii="georgia" w:hAnsi="georgia"/>
          <w:color w:val="000000"/>
        </w:rPr>
        <w:t xml:space="preserve">The Federal Reserve's own 1994 Chase Manhattan order (</w:t>
      </w:r>
      <w:hyperlink r:id="rId9">
        <w:r>
          <w:rPr>
            <w:rFonts w:eastAsia="helvetica neue" w:cs="helvetica neue" w:ascii="helvetica neue" w:hAnsi="helvetica neue"/>
            <w:color w:val="#000"/>
            <w:u w:val="single"/>
          </w:rPr>
          <w:t xml:space="preserve">26 April 1994 Federal Register, FRB on Chase Manhattan</w:t>
        </w:r>
      </w:hyperlink>
      <w:r>
        <w:rPr>
          <w:rFonts w:eastAsia="georgia" w:cs="georgia" w:ascii="georgia" w:hAnsi="georgia"/>
          <w:color w:val="000000"/>
        </w:rPr>
        <w:t xml:space="preserve">) traces the precedent it is following:</w:t>
      </w:r>
    </w:p>
    <w:p>
      <w:pPr>
        <w:spacing w:line="360" w:after="210" w:lineRule="auto"/>
        <w:ind w:left="630"/>
      </w:pPr>
      <w:r>
        <w:rPr>
          <w:rFonts w:eastAsia="georgia" w:cs="georgia" w:ascii="georgia" w:hAnsi="georgia"/>
          <w:color w:val="000000"/>
        </w:rPr>
        <w:t xml:space="preserve">"The Board previously has approved, by order, underwriting and dealing in, to a limited extent, all types of debt and equity securities. </w:t>
      </w:r>
      <w:r>
        <w:rPr>
          <w:rFonts w:eastAsia="georgia" w:cs="georgia" w:ascii="georgia" w:hAnsi="georgia"/>
          <w:b/>
          <w:color w:val="000000"/>
        </w:rPr>
        <w:t xml:space="preserve">J.P. Morgan &amp; Co. Incorporated, et al.</w:t>
      </w:r>
      <w:r>
        <w:rPr>
          <w:rFonts w:eastAsia="georgia" w:cs="georgia" w:ascii="georgia" w:hAnsi="georgia"/>
          <w:color w:val="000000"/>
        </w:rPr>
        <w:t xml:space="preserve">, 75 Federal Reserve Bulletin 192 (1989) (1989 Section 20 Order), as modified by Order dated September 21, 1989, 75 Federal Reserve Bulletin 751 (1989) (Modification Order) and the Order dated January 4, 1990 (Foreign Bank Order)."</w:t>
      </w:r>
    </w:p>
    <w:p>
      <w:pPr>
        <w:spacing w:line="360" w:after="210" w:lineRule="auto"/>
      </w:pPr>
      <w:r>
        <w:rPr>
          <w:rFonts w:eastAsia="georgia" w:cs="georgia" w:ascii="georgia" w:hAnsi="georgia"/>
          <w:color w:val="000000"/>
        </w:rPr>
        <w:t xml:space="preserve">In plain words: </w:t>
      </w:r>
      <w:r>
        <w:rPr>
          <w:rFonts w:eastAsia="georgia" w:cs="georgia" w:ascii="georgia" w:hAnsi="georgia"/>
          <w:b/>
          <w:color w:val="000000"/>
        </w:rPr>
        <w:t xml:space="preserve">every subsequent Section 20 expansion cites the 1989 J.P. Morgan order as precedent</w:t>
      </w:r>
      <w:r>
        <w:rPr>
          <w:rFonts w:eastAsia="georgia" w:cs="georgia" w:ascii="georgia" w:hAnsi="georgia"/>
          <w:color w:val="000000"/>
        </w:rPr>
        <w:t xml:space="preserve">. J.P. Morgan wrote the legal template that every other US commercial bank used to enter investment banking through the back door. The phrase used by the regulatory historiography is </w:t>
      </w:r>
      <w:r>
        <w:rPr>
          <w:rFonts w:eastAsia="georgia" w:cs="georgia" w:ascii="georgia" w:hAnsi="georgia"/>
          <w:i/>
          <w:color w:val="000000"/>
        </w:rPr>
        <w:t xml:space="preserve">"1989 Section 20 Order"</w:t>
      </w:r>
      <w:r>
        <w:rPr>
          <w:rFonts w:eastAsia="georgia" w:cs="georgia" w:ascii="georgia" w:hAnsi="georgia"/>
          <w:color w:val="000000"/>
        </w:rPr>
        <w:t xml:space="preserve">, and the named applicant is J.P. Morgan.</w:t>
      </w:r>
    </w:p>
    <w:p>
      <w:pPr>
        <w:spacing w:line="360" w:before="315" w:after="105" w:lineRule="auto"/>
        <w:ind w:left="-30"/>
        <w:jc w:val="left"/>
      </w:pPr>
      <w:bookmarkStart w:id="5" w:name="bm_2_3_what_j_p_morgan_was_lobbyi_663915"/>
      <w:r>
        <w:rPr>
          <w:rFonts w:eastAsia="georgia" w:cs="georgia" w:ascii="georgia" w:hAnsi="georgia"/>
          <w:b/>
          <w:color w:val="000000"/>
          <w:sz w:val="24"/>
        </w:rPr>
        <w:t xml:space="preserve">2.3 What J.P. Morgan was lobbying for, and who was running it</w:t>
      </w:r>
      <w:bookmarkEnd w:id="5"/>
    </w:p>
    <w:p>
      <w:pPr>
        <w:spacing w:line="360" w:after="210" w:lineRule="auto"/>
      </w:pPr>
      <w:hyperlink r:id="rId10">
        <w:r>
          <w:rPr>
            <w:rFonts w:eastAsia="helvetica neue" w:cs="helvetica neue" w:ascii="helvetica neue" w:hAnsi="helvetica neue"/>
            <w:color w:val="#000"/>
            <w:u w:val="single"/>
          </w:rPr>
          <w:t xml:space="preserve">Net Interest's reconstruction</w:t>
        </w:r>
      </w:hyperlink>
      <w:r>
        <w:rPr>
          <w:rFonts w:eastAsia="georgia" w:cs="georgia" w:ascii="georgia" w:hAnsi="georgia"/>
          <w:color w:val="000000"/>
        </w:rPr>
        <w:t xml:space="preserve"> describes Dennis Weatherstone, J.P. Morgan's CEO from 1990 to 1994:</w:t>
      </w:r>
    </w:p>
    <w:p>
      <w:pPr>
        <w:spacing w:line="360" w:after="210" w:lineRule="auto"/>
        <w:ind w:left="630"/>
      </w:pPr>
      <w:r>
        <w:rPr>
          <w:rFonts w:eastAsia="georgia" w:cs="georgia" w:ascii="georgia" w:hAnsi="georgia"/>
          <w:color w:val="000000"/>
        </w:rPr>
        <w:t xml:space="preserve">"One of his first acts in charge was lobbying the Federal Reserve to give his firm authority to trade and sell corporate stocks — making it the first bank-related securities firm with a full range of securities powers."</w:t>
      </w:r>
    </w:p>
    <w:p>
      <w:pPr>
        <w:spacing w:line="360" w:after="210" w:lineRule="auto"/>
      </w:pPr>
      <w:r>
        <w:rPr>
          <w:rFonts w:eastAsia="georgia" w:cs="georgia" w:ascii="georgia" w:hAnsi="georgia"/>
          <w:color w:val="000000"/>
        </w:rPr>
        <w:t xml:space="preserve">J.P. Morgan's transformation from a wholesale commercial bank into a universal bank was a </w:t>
      </w:r>
      <w:r>
        <w:rPr>
          <w:rFonts w:eastAsia="georgia" w:cs="georgia" w:ascii="georgia" w:hAnsi="georgia"/>
          <w:b/>
          <w:color w:val="000000"/>
        </w:rPr>
        <w:t xml:space="preserve">deliberate strategic project</w:t>
      </w:r>
      <w:r>
        <w:rPr>
          <w:rFonts w:eastAsia="georgia" w:cs="georgia" w:ascii="georgia" w:hAnsi="georgia"/>
          <w:color w:val="000000"/>
        </w:rPr>
        <w:t xml:space="preserve"> driven from the CEO's office, executed through the Federal Reserve's interpretive orders, and finished a full decade before Gramm-Leach-Bliley made it law. The 1996 Fed decision raising the Section 20 cap to 25 percent — under Greenspan — was the final stone removed from the dam.</w:t>
      </w:r>
    </w:p>
    <w:p>
      <w:pPr>
        <w:spacing w:line="360" w:after="210" w:lineRule="auto"/>
      </w:pPr>
      <w:r>
        <w:rPr>
          <w:rFonts w:eastAsia="georgia" w:cs="georgia" w:ascii="georgia" w:hAnsi="georgia"/>
          <w:color w:val="000000"/>
        </w:rPr>
        <w:t xml:space="preserve">By the time Citigroup's merger forced the political fight, J.P. Morgan was already operating as a universal bank. </w:t>
      </w:r>
      <w:r>
        <w:rPr>
          <w:rFonts w:eastAsia="georgia" w:cs="georgia" w:ascii="georgia" w:hAnsi="georgia"/>
          <w:b/>
          <w:color w:val="000000"/>
        </w:rPr>
        <w:t xml:space="preserve">Glass-Steagall was dead in practice by 1996. It died in statute in 1999.</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6" w:name="bm_3_the_second_half_clinton_s_te_c0007f"/>
      <w:r>
        <w:rPr>
          <w:rFonts w:eastAsia="georgia" w:cs="georgia" w:ascii="georgia" w:hAnsi="georgia"/>
          <w:b/>
          <w:color w:val="000000"/>
          <w:sz w:val="24"/>
        </w:rPr>
        <w:t xml:space="preserve">3. The Second Half — Clinton's Team Finishes The Job (1997–1999)</w:t>
      </w:r>
      <w:bookmarkEnd w:id="6"/>
    </w:p>
    <w:p>
      <w:pPr>
        <w:spacing w:line="360" w:before="315" w:after="105" w:lineRule="auto"/>
        <w:ind w:left="-30"/>
        <w:jc w:val="left"/>
      </w:pPr>
      <w:bookmarkStart w:id="7" w:name="bm_3_1_the_actors"/>
      <w:r>
        <w:rPr>
          <w:rFonts w:eastAsia="georgia" w:cs="georgia" w:ascii="georgia" w:hAnsi="georgia"/>
          <w:b/>
          <w:color w:val="000000"/>
          <w:sz w:val="24"/>
        </w:rPr>
        <w:t xml:space="preserve">3.1 The actors</w:t>
      </w:r>
      <w:bookmarkEnd w:id="7"/>
    </w:p>
    <w:p>
      <w:pPr>
        <w:spacing w:line="360" w:after="210" w:lineRule="auto"/>
      </w:pPr>
      <w:r>
        <w:rPr>
          <w:rFonts w:eastAsia="georgia" w:cs="georgia" w:ascii="georgia" w:hAnsi="georgia"/>
          <w:color w:val="000000"/>
        </w:rPr>
        <w:t xml:space="preserve">The political dismantling required a specific cast. Every one of them moved on a revolving door between Wall Street and the Clinton administration.</w:t>
      </w:r>
    </w:p>
    <w:p>
      <w:pPr>
        <w:numPr>
          <w:ilvl w:val="0"/>
          <w:numId w:val="2"/>
        </w:numPr>
        <w:spacing w:line="360" w:before="105" w:after="105" w:lineRule="auto"/>
      </w:pPr>
      <w:r>
        <w:rPr>
          <w:rFonts w:eastAsia="georgia" w:cs="georgia" w:ascii="georgia" w:hAnsi="georgia"/>
          <w:b/>
          <w:color w:val="000000"/>
          <w:sz w:val="21"/>
        </w:rPr>
        <w:t xml:space="preserve">Robert Rubin</w:t>
      </w:r>
      <w:r>
        <w:rPr>
          <w:rFonts w:eastAsia="georgia" w:cs="georgia" w:ascii="georgia" w:hAnsi="georgia"/>
          <w:color w:val="000000"/>
          <w:sz w:val="21"/>
        </w:rPr>
        <w:t xml:space="preserve"> — Co-Chairman of Goldman Sachs 1990–1992. White House National Economic Council director 1993–1995. </w:t>
      </w:r>
      <w:r>
        <w:rPr>
          <w:rFonts w:eastAsia="georgia" w:cs="georgia" w:ascii="georgia" w:hAnsi="georgia"/>
          <w:b/>
          <w:color w:val="000000"/>
          <w:sz w:val="21"/>
        </w:rPr>
        <w:t xml:space="preserve">US Treasury Secretary 4 January 1995 – 2 July 1999.</w:t>
      </w:r>
      <w:r>
        <w:rPr>
          <w:rFonts w:eastAsia="georgia" w:cs="georgia" w:ascii="georgia" w:hAnsi="georgia"/>
          <w:color w:val="000000"/>
          <w:sz w:val="21"/>
        </w:rPr>
        <w:t xml:space="preserve"> Resigned the Treasury on 2 July 1999. </w:t>
      </w:r>
      <w:r>
        <w:rPr>
          <w:rFonts w:eastAsia="georgia" w:cs="georgia" w:ascii="georgia" w:hAnsi="georgia"/>
          <w:b/>
          <w:color w:val="000000"/>
          <w:sz w:val="21"/>
        </w:rPr>
        <w:t xml:space="preserve">Joined Citigroup in October 1999</w:t>
      </w:r>
      <w:r>
        <w:rPr>
          <w:rFonts w:eastAsia="georgia" w:cs="georgia" w:ascii="georgia" w:hAnsi="georgia"/>
          <w:color w:val="000000"/>
          <w:sz w:val="21"/>
        </w:rPr>
        <w:t xml:space="preserve"> as Director and Chair of the Executive Committee — </w:t>
      </w:r>
      <w:r>
        <w:rPr>
          <w:rFonts w:eastAsia="georgia" w:cs="georgia" w:ascii="georgia" w:hAnsi="georgia"/>
          <w:b/>
          <w:color w:val="000000"/>
          <w:sz w:val="21"/>
        </w:rPr>
        <w:t xml:space="preserve">eight days after the House and Senate conference produced the final Gramm-Leach-Bliley bill on 22 October 1999</w:t>
      </w:r>
      <w:r>
        <w:rPr>
          <w:rFonts w:eastAsia="georgia" w:cs="georgia" w:ascii="georgia" w:hAnsi="georgia"/>
          <w:color w:val="000000"/>
          <w:sz w:val="21"/>
        </w:rPr>
        <w:t xml:space="preserve"> (</w:t>
      </w:r>
      <w:hyperlink r:id="rId11">
        <w:r>
          <w:rPr>
            <w:rFonts w:eastAsia="helvetica neue" w:cs="helvetica neue" w:ascii="helvetica neue" w:hAnsi="helvetica neue"/>
            <w:color w:val="#000"/>
            <w:sz w:val="21"/>
            <w:u w:val="single"/>
          </w:rPr>
          <w:t xml:space="preserve">Treasury biographical record</w:t>
        </w:r>
      </w:hyperlink>
      <w:r>
        <w:rPr>
          <w:rFonts w:eastAsia="georgia" w:cs="georgia" w:ascii="georgia" w:hAnsi="georgia"/>
          <w:color w:val="000000"/>
          <w:sz w:val="21"/>
        </w:rPr>
        <w:t xml:space="preserve">; </w:t>
      </w:r>
      <w:hyperlink r:id="rId12">
        <w:r>
          <w:rPr>
            <w:rFonts w:eastAsia="helvetica neue" w:cs="helvetica neue" w:ascii="helvetica neue" w:hAnsi="helvetica neue"/>
            <w:color w:val="#000"/>
            <w:sz w:val="21"/>
            <w:u w:val="single"/>
          </w:rPr>
          <w:t xml:space="preserve">Miller Center biography</w:t>
        </w:r>
      </w:hyperlink>
      <w:r>
        <w:rPr>
          <w:rFonts w:eastAsia="georgia" w:cs="georgia" w:ascii="georgia" w:hAnsi="georgia"/>
          <w:color w:val="000000"/>
          <w:sz w:val="21"/>
        </w:rPr>
        <w:t xml:space="preserve">). Rubin reportedly earned </w:t>
      </w:r>
      <w:r>
        <w:rPr>
          <w:rFonts w:eastAsia="georgia" w:cs="georgia" w:ascii="georgia" w:hAnsi="georgia"/>
          <w:b/>
          <w:color w:val="000000"/>
          <w:sz w:val="21"/>
        </w:rPr>
        <w:t xml:space="preserve">$126 million in compensation from Citigroup over ten years</w:t>
      </w:r>
      <w:r>
        <w:rPr>
          <w:rFonts w:eastAsia="georgia" w:cs="georgia" w:ascii="georgia" w:hAnsi="georgia"/>
          <w:color w:val="000000"/>
          <w:sz w:val="21"/>
        </w:rPr>
        <w:t xml:space="preserve"> (</w:t>
      </w:r>
      <w:hyperlink r:id="rId13">
        <w:r>
          <w:rPr>
            <w:rFonts w:eastAsia="helvetica neue" w:cs="helvetica neue" w:ascii="helvetica neue" w:hAnsi="helvetica neue"/>
            <w:color w:val="#000"/>
            <w:sz w:val="21"/>
            <w:u w:val="single"/>
          </w:rPr>
          <w:t xml:space="preserve">Time, </w:t>
        </w:r>
        <w:r>
          <w:rPr>
            <w:rFonts w:eastAsia="helvetica neue" w:cs="helvetica neue" w:ascii="helvetica neue" w:hAnsi="helvetica neue"/>
            <w:i/>
            <w:color w:val="#000"/>
            <w:sz w:val="21"/>
            <w:u w:val="single"/>
          </w:rPr>
          <w:t xml:space="preserve">Assessing the Mess at Citi</w:t>
        </w:r>
        <w:r>
          <w:rPr>
            <w:rFonts w:eastAsia="helvetica neue" w:cs="helvetica neue" w:ascii="helvetica neue" w:hAnsi="helvetica neue"/>
            <w:color w:val="#000"/>
            <w:sz w:val="21"/>
            <w:u w:val="single"/>
          </w:rPr>
          <w:t xml:space="preserve">, 2007</w:t>
        </w:r>
      </w:hyperlink>
      <w:r>
        <w:rPr>
          <w:rFonts w:eastAsia="georgia" w:cs="georgia" w:ascii="georgia" w:hAnsi="georgia"/>
          <w:color w:val="000000"/>
          <w:sz w:val="21"/>
        </w:rPr>
        <w:t xml:space="preserve">).</w:t>
      </w:r>
    </w:p>
    <w:p>
      <w:pPr>
        <w:numPr>
          <w:ilvl w:val="0"/>
          <w:numId w:val="2"/>
        </w:numPr>
        <w:spacing w:line="360" w:before="105" w:after="105" w:lineRule="auto"/>
      </w:pPr>
      <w:r>
        <w:rPr>
          <w:rFonts w:eastAsia="georgia" w:cs="georgia" w:ascii="georgia" w:hAnsi="georgia"/>
          <w:b/>
          <w:color w:val="000000"/>
          <w:sz w:val="21"/>
        </w:rPr>
        <w:t xml:space="preserve">Lawrence Summers</w:t>
      </w:r>
      <w:r>
        <w:rPr>
          <w:rFonts w:eastAsia="georgia" w:cs="georgia" w:ascii="georgia" w:hAnsi="georgia"/>
          <w:color w:val="000000"/>
          <w:sz w:val="21"/>
        </w:rPr>
        <w:t xml:space="preserve"> — Rubin's deputy at Treasury 1995–1999; succeeded Rubin as Treasury Secretary July 1999 – January 2001. Signed Gramm-Leach-Bliley into law on Clinton's behalf as Treasury Secretary.</w:t>
      </w:r>
    </w:p>
    <w:p>
      <w:pPr>
        <w:numPr>
          <w:ilvl w:val="0"/>
          <w:numId w:val="2"/>
        </w:numPr>
        <w:spacing w:line="360" w:before="105" w:after="105" w:lineRule="auto"/>
      </w:pPr>
      <w:r>
        <w:rPr>
          <w:rFonts w:eastAsia="georgia" w:cs="georgia" w:ascii="georgia" w:hAnsi="georgia"/>
          <w:b/>
          <w:color w:val="000000"/>
          <w:sz w:val="21"/>
        </w:rPr>
        <w:t xml:space="preserve">Alan Greenspan</w:t>
      </w:r>
      <w:r>
        <w:rPr>
          <w:rFonts w:eastAsia="georgia" w:cs="georgia" w:ascii="georgia" w:hAnsi="georgia"/>
          <w:color w:val="000000"/>
          <w:sz w:val="21"/>
        </w:rPr>
        <w:t xml:space="preserve"> — Federal Reserve Chair August 1987 – January 2006. Authorised every Section 20 expansion described in Section 2 above. Personally endorsed Citigroup's creation.</w:t>
      </w:r>
    </w:p>
    <w:p>
      <w:pPr>
        <w:numPr>
          <w:ilvl w:val="0"/>
          <w:numId w:val="2"/>
        </w:numPr>
        <w:spacing w:line="360" w:before="105" w:after="105" w:lineRule="auto"/>
      </w:pPr>
      <w:r>
        <w:rPr>
          <w:rFonts w:eastAsia="georgia" w:cs="georgia" w:ascii="georgia" w:hAnsi="georgia"/>
          <w:b/>
          <w:color w:val="000000"/>
          <w:sz w:val="21"/>
        </w:rPr>
        <w:t xml:space="preserve">Sandy Weill</w:t>
      </w:r>
      <w:r>
        <w:rPr>
          <w:rFonts w:eastAsia="georgia" w:cs="georgia" w:ascii="georgia" w:hAnsi="georgia"/>
          <w:color w:val="000000"/>
          <w:sz w:val="21"/>
        </w:rPr>
        <w:t xml:space="preserve"> — CEO of Travelers Group; merged Travelers with Citicorp 6 April 1998 to form Citigroup. Reportedly placed the merger phone call to President Clinton hours before the public announcement.</w:t>
      </w:r>
    </w:p>
    <w:p>
      <w:pPr>
        <w:numPr>
          <w:ilvl w:val="0"/>
          <w:numId w:val="2"/>
        </w:numPr>
        <w:spacing w:line="360" w:before="105" w:after="105" w:lineRule="auto"/>
      </w:pPr>
      <w:r>
        <w:rPr>
          <w:rFonts w:eastAsia="georgia" w:cs="georgia" w:ascii="georgia" w:hAnsi="georgia"/>
          <w:b/>
          <w:color w:val="000000"/>
          <w:sz w:val="21"/>
        </w:rPr>
        <w:t xml:space="preserve">John Reed</w:t>
      </w:r>
      <w:r>
        <w:rPr>
          <w:rFonts w:eastAsia="georgia" w:cs="georgia" w:ascii="georgia" w:hAnsi="georgia"/>
          <w:color w:val="000000"/>
          <w:sz w:val="21"/>
        </w:rPr>
        <w:t xml:space="preserve"> — Citicorp CEO, Weill's co-CEO at the merged Citigroup.</w:t>
      </w:r>
    </w:p>
    <w:p>
      <w:pPr>
        <w:spacing w:line="360" w:before="315" w:after="105" w:lineRule="auto"/>
        <w:ind w:left="-30"/>
        <w:jc w:val="left"/>
      </w:pPr>
      <w:bookmarkStart w:id="8" w:name="bm_3_2_the_merger_that_broke_the_549278"/>
      <w:r>
        <w:rPr>
          <w:rFonts w:eastAsia="georgia" w:cs="georgia" w:ascii="georgia" w:hAnsi="georgia"/>
          <w:b/>
          <w:color w:val="000000"/>
          <w:sz w:val="24"/>
        </w:rPr>
        <w:t xml:space="preserve">3.2 The merger that broke the law before the law was changed</w:t>
      </w:r>
      <w:bookmarkEnd w:id="8"/>
    </w:p>
    <w:p>
      <w:pPr>
        <w:spacing w:line="360" w:after="210" w:lineRule="auto"/>
      </w:pPr>
      <w:r>
        <w:rPr>
          <w:rFonts w:eastAsia="georgia" w:cs="georgia" w:ascii="georgia" w:hAnsi="georgia"/>
          <w:b/>
          <w:color w:val="000000"/>
        </w:rPr>
        <w:t xml:space="preserve">6 April 1998 — Citicorp and Travelers announce merger</w:t>
      </w:r>
      <w:r>
        <w:rPr>
          <w:rFonts w:eastAsia="georgia" w:cs="georgia" w:ascii="georgia" w:hAnsi="georgia"/>
          <w:color w:val="000000"/>
        </w:rPr>
        <w:t xml:space="preserve"> (</w:t>
      </w:r>
      <w:hyperlink r:id="rId14">
        <w:r>
          <w:rPr>
            <w:rFonts w:eastAsia="helvetica neue" w:cs="helvetica neue" w:ascii="helvetica neue" w:hAnsi="helvetica neue"/>
            <w:color w:val="#000"/>
            <w:u w:val="single"/>
          </w:rPr>
          <w:t xml:space="preserve">Federal Reserve History, </w:t>
        </w:r>
        <w:r>
          <w:rPr>
            <w:rFonts w:eastAsia="helvetica neue" w:cs="helvetica neue" w:ascii="helvetica neue" w:hAnsi="helvetica neue"/>
            <w:i/>
            <w:color w:val="#000"/>
            <w:u w:val="single"/>
          </w:rPr>
          <w:t xml:space="preserve">Gramm-Leach-Bliley</w:t>
        </w:r>
      </w:hyperlink>
      <w:r>
        <w:rPr>
          <w:rFonts w:eastAsia="georgia" w:cs="georgia" w:ascii="georgia" w:hAnsi="georgia"/>
          <w:color w:val="000000"/>
        </w:rPr>
        <w:t xml:space="preserve">; </w:t>
      </w:r>
      <w:hyperlink r:id="rId15">
        <w:r>
          <w:rPr>
            <w:rFonts w:eastAsia="helvetica neue" w:cs="helvetica neue" w:ascii="helvetica neue" w:hAnsi="helvetica neue"/>
            <w:color w:val="#000"/>
            <w:u w:val="single"/>
          </w:rPr>
          <w:t xml:space="preserve">Investopedia, </w:t>
        </w:r>
        <w:r>
          <w:rPr>
            <w:rFonts w:eastAsia="helvetica neue" w:cs="helvetica neue" w:ascii="helvetica neue" w:hAnsi="helvetica neue"/>
            <w:i/>
            <w:color w:val="#000"/>
            <w:u w:val="single"/>
          </w:rPr>
          <w:t xml:space="preserve">GLBA</w:t>
        </w:r>
      </w:hyperlink>
      <w:r>
        <w:rPr>
          <w:rFonts w:eastAsia="georgia" w:cs="georgia" w:ascii="georgia" w:hAnsi="georgia"/>
          <w:color w:val="000000"/>
        </w:rPr>
        <w:t xml:space="preserve">). The deal was a $76 billion combination of the largest US bank holding company (Citicorp) with the country's second-largest insurer and a major securities firm (Travelers, which owned Salomon Smith Barney). The Federal Reserve History page acknowledges this plainly:</w:t>
      </w:r>
    </w:p>
    <w:p>
      <w:pPr>
        <w:spacing w:line="360" w:after="210" w:lineRule="auto"/>
        <w:ind w:left="630"/>
      </w:pPr>
      <w:r>
        <w:rPr>
          <w:rFonts w:eastAsia="georgia" w:cs="georgia" w:ascii="georgia" w:hAnsi="georgia"/>
          <w:color w:val="000000"/>
        </w:rPr>
        <w:t xml:space="preserve">"in 1998 Citicorp, a large bank holding company, announced plans to merge with Travelers Insurance, forming Citigroup. </w:t>
      </w:r>
      <w:r>
        <w:rPr>
          <w:rFonts w:eastAsia="georgia" w:cs="georgia" w:ascii="georgia" w:hAnsi="georgia"/>
          <w:b/>
          <w:color w:val="000000"/>
        </w:rPr>
        <w:t xml:space="preserve">This merger was not yet permissible under existing regulations</w:t>
      </w:r>
      <w:r>
        <w:rPr>
          <w:rFonts w:eastAsia="georgia" w:cs="georgia" w:ascii="georgia" w:hAnsi="georgia"/>
          <w:color w:val="000000"/>
        </w:rPr>
        <w:t xml:space="preserve">; it was made in anticipation of a change in the law then under discussion in Congress."</w:t>
      </w:r>
    </w:p>
    <w:p>
      <w:pPr>
        <w:spacing w:line="360" w:after="210" w:lineRule="auto"/>
      </w:pPr>
      <w:r>
        <w:rPr>
          <w:rFonts w:eastAsia="georgia" w:cs="georgia" w:ascii="georgia" w:hAnsi="georgia"/>
          <w:color w:val="000000"/>
        </w:rPr>
        <w:t xml:space="preserve">In plain words: the merger was illegal under Glass-Steagall and the Bank Holding Company Act when it was announced. The companies' bet was that the law would change before the regulators acted. The Federal Reserve granted Citigroup a </w:t>
      </w:r>
      <w:r>
        <w:rPr>
          <w:rFonts w:eastAsia="georgia" w:cs="georgia" w:ascii="georgia" w:hAnsi="georgia"/>
          <w:b/>
          <w:color w:val="000000"/>
        </w:rPr>
        <w:t xml:space="preserve">temporary two-year waiver</w:t>
      </w:r>
      <w:r>
        <w:rPr>
          <w:rFonts w:eastAsia="georgia" w:cs="georgia" w:ascii="georgia" w:hAnsi="georgia"/>
          <w:color w:val="000000"/>
        </w:rPr>
        <w:t xml:space="preserve"> in September 1998 so the merger could proceed pending statutory repeal. There was no statutory basis for the waiver. The Fed simply chose not to enforce the law.</w:t>
      </w:r>
    </w:p>
    <w:p>
      <w:pPr>
        <w:spacing w:line="360" w:after="210" w:lineRule="auto"/>
      </w:pPr>
      <w:r>
        <w:rPr>
          <w:rFonts w:eastAsia="georgia" w:cs="georgia" w:ascii="georgia" w:hAnsi="georgia"/>
          <w:color w:val="000000"/>
        </w:rPr>
        <w:t xml:space="preserve">The PBS Frontline summary is direct: </w:t>
      </w:r>
      <w:r>
        <w:rPr>
          <w:rFonts w:eastAsia="georgia" w:cs="georgia" w:ascii="georgia" w:hAnsi="georgia"/>
          <w:i/>
          <w:color w:val="000000"/>
        </w:rPr>
        <w:t xml:space="preserve">"The death knell of Glass-Steagall is really the Citibank-Travelers merger, which comes in 1998, through an exception granted by the Federal Reserve Board."</w:t>
      </w:r>
    </w:p>
    <w:p>
      <w:pPr>
        <w:spacing w:line="360" w:after="210" w:lineRule="auto"/>
      </w:pPr>
      <w:hyperlink r:id="rId16">
        <w:r>
          <w:rPr>
            <w:rFonts w:eastAsia="helvetica neue" w:cs="helvetica neue" w:ascii="helvetica neue" w:hAnsi="helvetica neue"/>
            <w:color w:val="#000"/>
            <w:u w:val="single"/>
          </w:rPr>
          <w:t xml:space="preserve">Investopedia's reference summary</w:t>
        </w:r>
      </w:hyperlink>
      <w:r>
        <w:rPr>
          <w:rFonts w:eastAsia="georgia" w:cs="georgia" w:ascii="georgia" w:hAnsi="georgia"/>
          <w:color w:val="000000"/>
        </w:rPr>
        <w:t xml:space="preserve">: </w:t>
      </w:r>
      <w:r>
        <w:rPr>
          <w:rFonts w:eastAsia="georgia" w:cs="georgia" w:ascii="georgia" w:hAnsi="georgia"/>
          <w:i/>
          <w:color w:val="000000"/>
        </w:rPr>
        <w:t xml:space="preserve">"Citicorp merger was a violation of the then-existing Glass–Steagall Act, as well as the Bank Holding Company Act of 1956. To allow the merger to take place, the U.S. Federal Reserve gave Citigroup a temporary waiver in September 1998 — a precursor to Congress's passage of GLBA."</w:t>
      </w:r>
    </w:p>
    <w:p>
      <w:pPr>
        <w:spacing w:line="360" w:before="315" w:after="105" w:lineRule="auto"/>
        <w:ind w:left="-30"/>
        <w:jc w:val="left"/>
      </w:pPr>
      <w:bookmarkStart w:id="9" w:name="bm_3_3_the_clinton_administration_s_role"/>
      <w:r>
        <w:rPr>
          <w:rFonts w:eastAsia="georgia" w:cs="georgia" w:ascii="georgia" w:hAnsi="georgia"/>
          <w:b/>
          <w:color w:val="000000"/>
          <w:sz w:val="24"/>
        </w:rPr>
        <w:t xml:space="preserve">3.3 The Clinton administration's role</w:t>
      </w:r>
      <w:bookmarkEnd w:id="9"/>
    </w:p>
    <w:p>
      <w:pPr>
        <w:spacing w:line="360" w:after="210" w:lineRule="auto"/>
      </w:pPr>
      <w:r>
        <w:rPr>
          <w:rFonts w:eastAsia="georgia" w:cs="georgia" w:ascii="georgia" w:hAnsi="georgia"/>
          <w:color w:val="000000"/>
        </w:rPr>
        <w:t xml:space="preserve">The George Washington University Law School treatment (</w:t>
      </w:r>
      <w:hyperlink r:id="rId17">
        <w:r>
          <w:rPr>
            <w:rFonts w:eastAsia="helvetica neue" w:cs="helvetica neue" w:ascii="helvetica neue" w:hAnsi="helvetica neue"/>
            <w:color w:val="#000"/>
            <w:u w:val="single"/>
          </w:rPr>
          <w:t xml:space="preserve">Wilmarth, </w:t>
        </w:r>
        <w:r>
          <w:rPr>
            <w:rFonts w:eastAsia="helvetica neue" w:cs="helvetica neue" w:ascii="helvetica neue" w:hAnsi="helvetica neue"/>
            <w:i/>
            <w:color w:val="#000"/>
            <w:u w:val="single"/>
          </w:rPr>
          <w:t xml:space="preserve">The Road to Repeal</w:t>
        </w:r>
        <w:r>
          <w:rPr>
            <w:rFonts w:eastAsia="helvetica neue" w:cs="helvetica neue" w:ascii="helvetica neue" w:hAnsi="helvetica neue"/>
            <w:color w:val="#000"/>
            <w:u w:val="single"/>
          </w:rPr>
          <w:t xml:space="preserve">, 2017</w:t>
        </w:r>
      </w:hyperlink>
      <w:r>
        <w:rPr>
          <w:rFonts w:eastAsia="georgia" w:cs="georgia" w:ascii="georgia" w:hAnsi="georgia"/>
          <w:color w:val="000000"/>
        </w:rPr>
        <w:t xml:space="preserve">, p. 510) makes the political alignment explicit:</w:t>
      </w:r>
    </w:p>
    <w:p>
      <w:pPr>
        <w:spacing w:line="360" w:after="210" w:lineRule="auto"/>
        <w:ind w:left="630"/>
      </w:pPr>
      <w:r>
        <w:rPr>
          <w:rFonts w:eastAsia="georgia" w:cs="georgia" w:ascii="georgia" w:hAnsi="georgia"/>
          <w:color w:val="000000"/>
        </w:rPr>
        <w:t xml:space="preserve">"</w:t>
      </w:r>
      <w:r>
        <w:rPr>
          <w:rFonts w:eastAsia="georgia" w:cs="georgia" w:ascii="georgia" w:hAnsi="georgia"/>
          <w:b/>
          <w:color w:val="000000"/>
        </w:rPr>
        <w:t xml:space="preserve">President Bill Clinton, Treasury Secretary Robert Rubin, and Fed Chairman Alan Greenspan endorsed the creation of Citigroup, even though it was contrary to the clear intent of Glass-Steagall and BHCA. Citigroup and other large financial institutions spearheaded a massive lobbying campaign that finally persuaded Congress to adopt GLBA in 1999.</w:t>
      </w:r>
      <w:r>
        <w:rPr>
          <w:rFonts w:eastAsia="georgia" w:cs="georgia" w:ascii="georgia" w:hAnsi="georgia"/>
          <w:color w:val="000000"/>
        </w:rPr>
        <w:t xml:space="preserve">"</w:t>
      </w:r>
    </w:p>
    <w:p>
      <w:pPr>
        <w:spacing w:line="360" w:after="210" w:lineRule="auto"/>
      </w:pPr>
      <w:r>
        <w:rPr>
          <w:rFonts w:eastAsia="georgia" w:cs="georgia" w:ascii="georgia" w:hAnsi="georgia"/>
          <w:color w:val="000000"/>
        </w:rPr>
        <w:t xml:space="preserve">This is the three-named-actor structure of the political enabling: </w:t>
      </w:r>
      <w:r>
        <w:rPr>
          <w:rFonts w:eastAsia="georgia" w:cs="georgia" w:ascii="georgia" w:hAnsi="georgia"/>
          <w:b/>
          <w:color w:val="000000"/>
        </w:rPr>
        <w:t xml:space="preserve">Clinton, Rubin, Greenspan.</w:t>
      </w:r>
      <w:r>
        <w:rPr>
          <w:rFonts w:eastAsia="georgia" w:cs="georgia" w:ascii="georgia" w:hAnsi="georgia"/>
          <w:color w:val="000000"/>
        </w:rPr>
        <w:t xml:space="preserve"> Two of them were full-cycle Wall Street executives (Rubin at Goldman before, Citigroup after; Greenspan with Bechtel and JP Morgan board service after retirement). The third signed the law.</w:t>
      </w:r>
    </w:p>
    <w:p>
      <w:pPr>
        <w:spacing w:line="360" w:after="210" w:lineRule="auto"/>
      </w:pPr>
      <w:r>
        <w:rPr>
          <w:rFonts w:eastAsia="georgia" w:cs="georgia" w:ascii="georgia" w:hAnsi="georgia"/>
          <w:color w:val="000000"/>
        </w:rPr>
        <w:t xml:space="preserve">The bill — </w:t>
      </w:r>
      <w:r>
        <w:rPr>
          <w:rFonts w:eastAsia="georgia" w:cs="georgia" w:ascii="georgia" w:hAnsi="georgia"/>
          <w:b/>
          <w:color w:val="000000"/>
        </w:rPr>
        <w:t xml:space="preserve">Gramm-Leach-Bliley Act / Financial Services Modernization Act of 1999</w:t>
      </w:r>
      <w:r>
        <w:rPr>
          <w:rFonts w:eastAsia="georgia" w:cs="georgia" w:ascii="georgia" w:hAnsi="georgia"/>
          <w:color w:val="000000"/>
        </w:rPr>
        <w:t xml:space="preserve"> — was negotiated through October 1999. Conference negotiations broke down repeatedly. The deal was finally announced at </w:t>
      </w:r>
      <w:r>
        <w:rPr>
          <w:rFonts w:eastAsia="georgia" w:cs="georgia" w:ascii="georgia" w:hAnsi="georgia"/>
          <w:b/>
          <w:color w:val="000000"/>
        </w:rPr>
        <w:t xml:space="preserve">2:45 a.m. on 22 October 1999</w:t>
      </w:r>
      <w:r>
        <w:rPr>
          <w:rFonts w:eastAsia="georgia" w:cs="georgia" w:ascii="georgia" w:hAnsi="georgia"/>
          <w:color w:val="000000"/>
        </w:rPr>
        <w:t xml:space="preserve"> (</w:t>
      </w:r>
      <w:hyperlink r:id="rId18">
        <w:r>
          <w:rPr>
            <w:rFonts w:eastAsia="helvetica neue" w:cs="helvetica neue" w:ascii="helvetica neue" w:hAnsi="helvetica neue"/>
            <w:color w:val="#000"/>
            <w:u w:val="single"/>
          </w:rPr>
          <w:t xml:space="preserve">PBS Frontline timeline</w:t>
        </w:r>
      </w:hyperlink>
      <w:r>
        <w:rPr>
          <w:rFonts w:eastAsia="georgia" w:cs="georgia" w:ascii="georgia" w:hAnsi="georgia"/>
          <w:color w:val="000000"/>
        </w:rPr>
        <w:t xml:space="preserve">). The House and Senate approved the conference report on </w:t>
      </w:r>
      <w:r>
        <w:rPr>
          <w:rFonts w:eastAsia="georgia" w:cs="georgia" w:ascii="georgia" w:hAnsi="georgia"/>
          <w:b/>
          <w:color w:val="000000"/>
        </w:rPr>
        <w:t xml:space="preserve">4 November 1999</w:t>
      </w:r>
      <w:r>
        <w:rPr>
          <w:rFonts w:eastAsia="georgia" w:cs="georgia" w:ascii="georgia" w:hAnsi="georgia"/>
          <w:color w:val="000000"/>
        </w:rPr>
        <w:t xml:space="preserve">. </w:t>
      </w:r>
      <w:r>
        <w:rPr>
          <w:rFonts w:eastAsia="georgia" w:cs="georgia" w:ascii="georgia" w:hAnsi="georgia"/>
          <w:b/>
          <w:color w:val="000000"/>
        </w:rPr>
        <w:t xml:space="preserve">Clinton signed it on 12 November 1999.</w:t>
      </w:r>
    </w:p>
    <w:p>
      <w:pPr>
        <w:spacing w:line="360" w:after="210" w:lineRule="auto"/>
      </w:pPr>
      <w:r>
        <w:rPr>
          <w:rFonts w:eastAsia="georgia" w:cs="georgia" w:ascii="georgia" w:hAnsi="georgia"/>
          <w:color w:val="000000"/>
        </w:rPr>
        <w:t xml:space="preserve">Rubin had resigned Treasury </w:t>
      </w:r>
      <w:r>
        <w:rPr>
          <w:rFonts w:eastAsia="georgia" w:cs="georgia" w:ascii="georgia" w:hAnsi="georgia"/>
          <w:b/>
          <w:color w:val="000000"/>
        </w:rPr>
        <w:t xml:space="preserve">4 months earlier (2 July 1999)</w:t>
      </w:r>
      <w:r>
        <w:rPr>
          <w:rFonts w:eastAsia="georgia" w:cs="georgia" w:ascii="georgia" w:hAnsi="georgia"/>
          <w:color w:val="000000"/>
        </w:rPr>
        <w:t xml:space="preserve"> to ensure he was not in office when the bill bearing his policy line was enacted. Three months after signing, </w:t>
      </w:r>
      <w:r>
        <w:rPr>
          <w:rFonts w:eastAsia="georgia" w:cs="georgia" w:ascii="georgia" w:hAnsi="georgia"/>
          <w:b/>
          <w:color w:val="000000"/>
        </w:rPr>
        <w:t xml:space="preserve">on or around October 1999</w:t>
      </w:r>
      <w:r>
        <w:rPr>
          <w:rFonts w:eastAsia="georgia" w:cs="georgia" w:ascii="georgia" w:hAnsi="georgia"/>
          <w:color w:val="000000"/>
        </w:rPr>
        <w:t xml:space="preserve">, he became Director and Chair of the Executive Committee of </w:t>
      </w:r>
      <w:r>
        <w:rPr>
          <w:rFonts w:eastAsia="georgia" w:cs="georgia" w:ascii="georgia" w:hAnsi="georgia"/>
          <w:b/>
          <w:color w:val="000000"/>
        </w:rPr>
        <w:t xml:space="preserve">Citigroup</w:t>
      </w:r>
      <w:r>
        <w:rPr>
          <w:rFonts w:eastAsia="georgia" w:cs="georgia" w:ascii="georgia" w:hAnsi="georgia"/>
          <w:color w:val="000000"/>
        </w:rPr>
        <w:t xml:space="preserve"> — the firm whose illegal merger his department had endorsed and whose legalisation his successor signed into law. He stayed there a decade, was personally implicated in Citigroup's near-collapse in 2008, and never returned the bonuses.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0" w:name="bm_4_j_p_morgan_s_position_throug_19b8fe"/>
      <w:r>
        <w:rPr>
          <w:rFonts w:eastAsia="georgia" w:cs="georgia" w:ascii="georgia" w:hAnsi="georgia"/>
          <w:b/>
          <w:color w:val="000000"/>
          <w:sz w:val="24"/>
        </w:rPr>
        <w:t xml:space="preserve">4. J.P. Morgan's Position Through The Repeal</w:t>
      </w:r>
      <w:bookmarkEnd w:id="10"/>
    </w:p>
    <w:p>
      <w:pPr>
        <w:spacing w:line="360" w:after="210" w:lineRule="auto"/>
      </w:pPr>
      <w:r>
        <w:rPr>
          <w:rFonts w:eastAsia="georgia" w:cs="georgia" w:ascii="georgia" w:hAnsi="georgia"/>
          <w:color w:val="000000"/>
        </w:rPr>
        <w:t xml:space="preserve">The popular framing names Citigroup as the bank that killed Glass-Steagall. That is half-right. The correct version is:</w:t>
      </w:r>
    </w:p>
    <w:p>
      <w:pPr>
        <w:numPr>
          <w:ilvl w:val="0"/>
          <w:numId w:val="3"/>
        </w:numPr>
        <w:spacing w:line="360" w:before="105" w:after="105" w:lineRule="auto"/>
      </w:pPr>
      <w:r>
        <w:rPr>
          <w:rFonts w:eastAsia="georgia" w:cs="georgia" w:ascii="georgia" w:hAnsi="georgia"/>
          <w:b/>
          <w:color w:val="000000"/>
          <w:sz w:val="21"/>
        </w:rPr>
        <w:t xml:space="preserve">J.P. Morgan killed Glass-Steagall </w:t>
      </w:r>
      <w:r>
        <w:rPr>
          <w:rFonts w:eastAsia="georgia" w:cs="georgia" w:ascii="georgia" w:hAnsi="georgia"/>
          <w:b/>
          <w:i/>
          <w:color w:val="000000"/>
          <w:sz w:val="21"/>
        </w:rPr>
        <w:t xml:space="preserve">in practice, by sequential Federal Reserve orders 1987–1996, with Section 20 subsidiary precedents that every other major US commercial bank then copied.</w:t>
      </w:r>
    </w:p>
    <w:p>
      <w:pPr>
        <w:numPr>
          <w:ilvl w:val="0"/>
          <w:numId w:val="3"/>
        </w:numPr>
        <w:spacing w:line="360" w:before="105" w:after="105" w:lineRule="auto"/>
      </w:pPr>
      <w:r>
        <w:rPr>
          <w:rFonts w:eastAsia="georgia" w:cs="georgia" w:ascii="georgia" w:hAnsi="georgia"/>
          <w:b/>
          <w:color w:val="000000"/>
          <w:sz w:val="21"/>
        </w:rPr>
        <w:t xml:space="preserve">Citigroup killed Glass-Steagall </w:t>
      </w:r>
      <w:r>
        <w:rPr>
          <w:rFonts w:eastAsia="georgia" w:cs="georgia" w:ascii="georgia" w:hAnsi="georgia"/>
          <w:b/>
          <w:i/>
          <w:color w:val="000000"/>
          <w:sz w:val="21"/>
        </w:rPr>
        <w:t xml:space="preserve">in statute, by forcing a merger that was illegal under the statute, then mobilising the Treasury and Fed to legalise it retroactively via GLBA.</w:t>
      </w:r>
    </w:p>
    <w:p>
      <w:pPr>
        <w:spacing w:line="360" w:after="210" w:lineRule="auto"/>
      </w:pPr>
      <w:r>
        <w:rPr>
          <w:rFonts w:eastAsia="georgia" w:cs="georgia" w:ascii="georgia" w:hAnsi="georgia"/>
          <w:color w:val="000000"/>
        </w:rPr>
        <w:t xml:space="preserve">J.P. Morgan was a quieter beneficiary of the 1999 repeal because it had already built its universal bank under the Section 20 architecture. What GLBA gave it was:</w:t>
      </w:r>
    </w:p>
    <w:p>
      <w:pPr>
        <w:numPr>
          <w:ilvl w:val="0"/>
          <w:numId w:val="4"/>
        </w:numPr>
        <w:spacing w:line="360" w:before="105" w:after="105" w:lineRule="auto"/>
      </w:pPr>
      <w:r>
        <w:rPr>
          <w:rFonts w:eastAsia="georgia" w:cs="georgia" w:ascii="georgia" w:hAnsi="georgia"/>
          <w:b/>
          <w:color w:val="000000"/>
          <w:sz w:val="21"/>
        </w:rPr>
        <w:t xml:space="preserve">The end of the 25 percent revenue cap</w:t>
      </w:r>
      <w:r>
        <w:rPr>
          <w:rFonts w:eastAsia="georgia" w:cs="georgia" w:ascii="georgia" w:hAnsi="georgia"/>
          <w:color w:val="000000"/>
          <w:sz w:val="21"/>
        </w:rPr>
        <w:t xml:space="preserve"> on its securities subsidiary.</w:t>
      </w:r>
    </w:p>
    <w:p>
      <w:pPr>
        <w:numPr>
          <w:ilvl w:val="0"/>
          <w:numId w:val="4"/>
        </w:numPr>
        <w:spacing w:line="360" w:before="105" w:after="105" w:lineRule="auto"/>
      </w:pPr>
      <w:r>
        <w:rPr>
          <w:rFonts w:eastAsia="georgia" w:cs="georgia" w:ascii="georgia" w:hAnsi="georgia"/>
          <w:b/>
          <w:color w:val="000000"/>
          <w:sz w:val="21"/>
        </w:rPr>
        <w:t xml:space="preserve">The ability to acquire insurance operations directly</w:t>
      </w:r>
      <w:r>
        <w:rPr>
          <w:rFonts w:eastAsia="georgia" w:cs="georgia" w:ascii="georgia" w:hAnsi="georgia"/>
          <w:color w:val="000000"/>
          <w:sz w:val="21"/>
        </w:rPr>
        <w:t xml:space="preserve"> — which it did not initially exercise, but which became important after the </w:t>
      </w:r>
      <w:r>
        <w:rPr>
          <w:rFonts w:eastAsia="georgia" w:cs="georgia" w:ascii="georgia" w:hAnsi="georgia"/>
          <w:b/>
          <w:color w:val="000000"/>
          <w:sz w:val="21"/>
        </w:rPr>
        <w:t xml:space="preserve">2000 merger of J.P. Morgan with Chase Manhattan Corporation</w:t>
      </w:r>
      <w:r>
        <w:rPr>
          <w:rFonts w:eastAsia="georgia" w:cs="georgia" w:ascii="georgia" w:hAnsi="georgia"/>
          <w:color w:val="000000"/>
          <w:sz w:val="21"/>
        </w:rPr>
        <w:t xml:space="preserve"> (</w:t>
      </w:r>
      <w:hyperlink r:id="rId19">
        <w:r>
          <w:rPr>
            <w:rFonts w:eastAsia="helvetica neue" w:cs="helvetica neue" w:ascii="helvetica neue" w:hAnsi="helvetica neue"/>
            <w:color w:val="#000"/>
            <w:sz w:val="21"/>
            <w:u w:val="single"/>
          </w:rPr>
          <w:t xml:space="preserve">NYT, 13 September 2000</w:t>
        </w:r>
      </w:hyperlink>
      <w:r>
        <w:rPr>
          <w:rFonts w:eastAsia="georgia" w:cs="georgia" w:ascii="georgia" w:hAnsi="georgia"/>
          <w:color w:val="000000"/>
          <w:sz w:val="21"/>
        </w:rPr>
        <w:t xml:space="preserve">). That merger created J.P. Morgan Chase &amp; Co. as the country's third-largest universal bank by assets at the time.</w:t>
      </w:r>
    </w:p>
    <w:p>
      <w:pPr>
        <w:numPr>
          <w:ilvl w:val="0"/>
          <w:numId w:val="4"/>
        </w:numPr>
        <w:spacing w:line="360" w:before="105" w:after="105" w:lineRule="auto"/>
      </w:pPr>
      <w:r>
        <w:rPr>
          <w:rFonts w:eastAsia="georgia" w:cs="georgia" w:ascii="georgia" w:hAnsi="georgia"/>
          <w:b/>
          <w:color w:val="000000"/>
          <w:sz w:val="21"/>
        </w:rPr>
        <w:t xml:space="preserve">The 2004 acquisition of Bank One</w:t>
      </w:r>
      <w:r>
        <w:rPr>
          <w:rFonts w:eastAsia="georgia" w:cs="georgia" w:ascii="georgia" w:hAnsi="georgia"/>
          <w:color w:val="000000"/>
          <w:sz w:val="21"/>
        </w:rPr>
        <w:t xml:space="preserve"> (bringing Jamie Dimon into the firm and to the CEO chair he occupies today).</w:t>
      </w:r>
    </w:p>
    <w:p>
      <w:pPr>
        <w:numPr>
          <w:ilvl w:val="0"/>
          <w:numId w:val="4"/>
        </w:numPr>
        <w:spacing w:line="360" w:before="105" w:after="105" w:lineRule="auto"/>
      </w:pPr>
      <w:r>
        <w:rPr>
          <w:rFonts w:eastAsia="georgia" w:cs="georgia" w:ascii="georgia" w:hAnsi="georgia"/>
          <w:b/>
          <w:color w:val="000000"/>
          <w:sz w:val="21"/>
        </w:rPr>
        <w:t xml:space="preserve">The 2008 emergency acquisitions</w:t>
      </w:r>
      <w:r>
        <w:rPr>
          <w:rFonts w:eastAsia="georgia" w:cs="georgia" w:ascii="georgia" w:hAnsi="georgia"/>
          <w:color w:val="000000"/>
          <w:sz w:val="21"/>
        </w:rPr>
        <w:t xml:space="preserve"> of Bear Stearns (March 2008) and Washington Mutual (September 2008) — both of which were structurally available to JPM only because the 1999 repeal had legitimised a single corporate entity holding commercial-bank deposits and a major investment-bank dealer book in one place.</w:t>
      </w:r>
    </w:p>
    <w:p>
      <w:pPr>
        <w:spacing w:line="360" w:after="210" w:lineRule="auto"/>
      </w:pPr>
      <w:r>
        <w:rPr>
          <w:rFonts w:eastAsia="georgia" w:cs="georgia" w:ascii="georgia" w:hAnsi="georgia"/>
          <w:color w:val="000000"/>
        </w:rPr>
        <w:t xml:space="preserve">In short: GLBA was the legal scaffolding under which JPMorgan Chase became the largest bank in the United States by assets. Today, in 2026, it sits at </w:t>
      </w:r>
      <w:r>
        <w:rPr>
          <w:rFonts w:eastAsia="georgia" w:cs="georgia" w:ascii="georgia" w:hAnsi="georgia"/>
          <w:b/>
          <w:color w:val="000000"/>
        </w:rPr>
        <w:t xml:space="preserve">$4.4 trillion</w:t>
      </w:r>
      <w:r>
        <w:rPr>
          <w:rFonts w:eastAsia="georgia" w:cs="georgia" w:ascii="georgia" w:hAnsi="georgia"/>
          <w:color w:val="000000"/>
        </w:rPr>
        <w:t xml:space="preserve">. Without GLBA, neither the Bear Stearns absorption nor the WaMu absorption would have been structurally possible in the form they took. </w:t>
      </w:r>
      <w:r>
        <w:rPr>
          <w:rFonts w:eastAsia="georgia" w:cs="georgia" w:ascii="georgia" w:hAnsi="georgia"/>
          <w:b/>
          <w:color w:val="000000"/>
        </w:rPr>
        <w:t xml:space="preserve">Jamie Dimon's empire is built on the floor that J.P. Morgan, Greenspan, Rubin, and Clinton collectively poured between 1987 and 1999.</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1" w:name="bm_5_the_consequences"/>
      <w:r>
        <w:rPr>
          <w:rFonts w:eastAsia="georgia" w:cs="georgia" w:ascii="georgia" w:hAnsi="georgia"/>
          <w:b/>
          <w:color w:val="000000"/>
          <w:sz w:val="24"/>
        </w:rPr>
        <w:t xml:space="preserve">5. The Consequences</w:t>
      </w:r>
      <w:bookmarkEnd w:id="11"/>
    </w:p>
    <w:p>
      <w:pPr>
        <w:spacing w:line="360" w:after="210" w:lineRule="auto"/>
      </w:pPr>
      <w:r>
        <w:rPr>
          <w:rFonts w:eastAsia="georgia" w:cs="georgia" w:ascii="georgia" w:hAnsi="georgia"/>
          <w:color w:val="000000"/>
        </w:rPr>
        <w:t xml:space="preserve">The Section 20 architecture J.P. Morgan built — commercial bank lending to an issuer whose securities its affiliate is placing — was the operating mechanism behind several of the failures the next two decades catalogued:</w:t>
      </w:r>
    </w:p>
    <w:p>
      <w:pPr>
        <w:numPr>
          <w:ilvl w:val="0"/>
          <w:numId w:val="5"/>
        </w:numPr>
        <w:spacing w:line="360" w:before="105" w:after="105" w:lineRule="auto"/>
      </w:pPr>
      <w:r>
        <w:rPr>
          <w:rFonts w:eastAsia="georgia" w:cs="georgia" w:ascii="georgia" w:hAnsi="georgia"/>
          <w:b/>
          <w:color w:val="000000"/>
          <w:sz w:val="21"/>
        </w:rPr>
        <w:t xml:space="preserve">Enron (2001).</w:t>
      </w:r>
      <w:r>
        <w:rPr>
          <w:rFonts w:eastAsia="georgia" w:cs="georgia" w:ascii="georgia" w:hAnsi="georgia"/>
          <w:color w:val="000000"/>
          <w:sz w:val="21"/>
        </w:rPr>
        <w:t xml:space="preserve"> J.P. Morgan and Citigroup both extended structured-finance credit to Enron while their affiliates underwrote Enron's securities. The 1989 Section 20 order's "internal policy" safeguards did not prevent it. JPM and Citi together paid </w:t>
      </w:r>
      <w:r>
        <w:rPr>
          <w:rFonts w:eastAsia="georgia" w:cs="georgia" w:ascii="georgia" w:hAnsi="georgia"/>
          <w:b/>
          <w:color w:val="000000"/>
          <w:sz w:val="21"/>
        </w:rPr>
        <w:t xml:space="preserve">$305 million</w:t>
      </w:r>
      <w:r>
        <w:rPr>
          <w:rFonts w:eastAsia="georgia" w:cs="georgia" w:ascii="georgia" w:hAnsi="georgia"/>
          <w:color w:val="000000"/>
          <w:sz w:val="21"/>
        </w:rPr>
        <w:t xml:space="preserve"> to settle SEC charges relating to Enron-related transactions in 2003.</w:t>
      </w:r>
    </w:p>
    <w:p>
      <w:pPr>
        <w:numPr>
          <w:ilvl w:val="0"/>
          <w:numId w:val="5"/>
        </w:numPr>
        <w:spacing w:line="360" w:before="105" w:after="105" w:lineRule="auto"/>
      </w:pPr>
      <w:r>
        <w:rPr>
          <w:rFonts w:eastAsia="georgia" w:cs="georgia" w:ascii="georgia" w:hAnsi="georgia"/>
          <w:b/>
          <w:color w:val="000000"/>
          <w:sz w:val="21"/>
        </w:rPr>
        <w:t xml:space="preserve">WorldCom (2002).</w:t>
      </w:r>
      <w:r>
        <w:rPr>
          <w:rFonts w:eastAsia="georgia" w:cs="georgia" w:ascii="georgia" w:hAnsi="georgia"/>
          <w:color w:val="000000"/>
          <w:sz w:val="21"/>
        </w:rPr>
        <w:t xml:space="preserve"> Same pattern. J.P. Morgan was one of the lead underwriters of WorldCom bonds while also extending credit. JPM settled WorldCom investor litigation for </w:t>
      </w:r>
      <w:r>
        <w:rPr>
          <w:rFonts w:eastAsia="georgia" w:cs="georgia" w:ascii="georgia" w:hAnsi="georgia"/>
          <w:b/>
          <w:color w:val="000000"/>
          <w:sz w:val="21"/>
        </w:rPr>
        <w:t xml:space="preserve">$2 billion</w:t>
      </w:r>
      <w:r>
        <w:rPr>
          <w:rFonts w:eastAsia="georgia" w:cs="georgia" w:ascii="georgia" w:hAnsi="georgia"/>
          <w:color w:val="000000"/>
          <w:sz w:val="21"/>
        </w:rPr>
        <w:t xml:space="preserve"> in 2005.</w:t>
      </w:r>
    </w:p>
    <w:p>
      <w:pPr>
        <w:numPr>
          <w:ilvl w:val="0"/>
          <w:numId w:val="5"/>
        </w:numPr>
        <w:spacing w:line="360" w:before="105" w:after="105" w:lineRule="auto"/>
      </w:pPr>
      <w:r>
        <w:rPr>
          <w:rFonts w:eastAsia="georgia" w:cs="georgia" w:ascii="georgia" w:hAnsi="georgia"/>
          <w:b/>
          <w:color w:val="000000"/>
          <w:sz w:val="21"/>
        </w:rPr>
        <w:t xml:space="preserve">The 2008 mortgage crisis.</w:t>
      </w:r>
      <w:r>
        <w:rPr>
          <w:rFonts w:eastAsia="georgia" w:cs="georgia" w:ascii="georgia" w:hAnsi="georgia"/>
          <w:color w:val="000000"/>
          <w:sz w:val="21"/>
        </w:rPr>
        <w:t xml:space="preserve"> The originate-to-distribute model — make the loan, package it, sell the securities, keep some on the balance sheet, hedge with derivatives — required all those functions to sit under one corporate roof. Glass-Steagall, as originally written, would have prevented it.</w:t>
      </w:r>
    </w:p>
    <w:p>
      <w:pPr>
        <w:numPr>
          <w:ilvl w:val="0"/>
          <w:numId w:val="5"/>
        </w:numPr>
        <w:spacing w:line="360" w:before="105" w:after="105" w:lineRule="auto"/>
      </w:pPr>
      <w:r>
        <w:rPr>
          <w:rFonts w:eastAsia="georgia" w:cs="georgia" w:ascii="georgia" w:hAnsi="georgia"/>
          <w:b/>
          <w:color w:val="000000"/>
          <w:sz w:val="21"/>
        </w:rPr>
        <w:t xml:space="preserve">The Dodd-Frank political fight.</w:t>
      </w:r>
      <w:r>
        <w:rPr>
          <w:rFonts w:eastAsia="georgia" w:cs="georgia" w:ascii="georgia" w:hAnsi="georgia"/>
          <w:color w:val="000000"/>
          <w:sz w:val="21"/>
        </w:rPr>
        <w:t xml:space="preserve"> A 2009 House amendment by Maurice Hinchey (D-NY) to </w:t>
      </w:r>
      <w:r>
        <w:rPr>
          <w:rFonts w:eastAsia="georgia" w:cs="georgia" w:ascii="georgia" w:hAnsi="georgia"/>
          <w:b/>
          <w:color w:val="000000"/>
          <w:sz w:val="21"/>
        </w:rPr>
        <w:t xml:space="preserve">reinstate Sections 20 and 32 of Glass-Steagall</w:t>
      </w:r>
      <w:r>
        <w:rPr>
          <w:rFonts w:eastAsia="georgia" w:cs="georgia" w:ascii="georgia" w:hAnsi="georgia"/>
          <w:color w:val="000000"/>
          <w:sz w:val="21"/>
        </w:rPr>
        <w:t xml:space="preserve"> was filed during Dodd-Frank consideration. </w:t>
      </w:r>
      <w:r>
        <w:rPr>
          <w:rFonts w:eastAsia="georgia" w:cs="georgia" w:ascii="georgia" w:hAnsi="georgia"/>
          <w:b/>
          <w:color w:val="000000"/>
          <w:sz w:val="21"/>
        </w:rPr>
        <w:t xml:space="preserve">It was not voted on</w:t>
      </w:r>
      <w:r>
        <w:rPr>
          <w:rFonts w:eastAsia="georgia" w:cs="georgia" w:ascii="georgia" w:hAnsi="georgia"/>
          <w:color w:val="000000"/>
          <w:sz w:val="21"/>
        </w:rPr>
        <w:t xml:space="preserve"> (</w:t>
      </w:r>
      <w:hyperlink r:id="rId20">
        <w:r>
          <w:rPr>
            <w:rFonts w:eastAsia="helvetica neue" w:cs="helvetica neue" w:ascii="helvetica neue" w:hAnsi="helvetica neue"/>
            <w:color w:val="#000"/>
            <w:sz w:val="21"/>
            <w:u w:val="single"/>
          </w:rPr>
          <w:t xml:space="preserve">Wikipedia, </w:t>
        </w:r>
        <w:r>
          <w:rPr>
            <w:rFonts w:eastAsia="helvetica neue" w:cs="helvetica neue" w:ascii="helvetica neue" w:hAnsi="helvetica neue"/>
            <w:i/>
            <w:color w:val="#000"/>
            <w:sz w:val="21"/>
            <w:u w:val="single"/>
          </w:rPr>
          <w:t xml:space="preserve">Glass–Steagall in post-financial crisis reform debate</w:t>
        </w:r>
      </w:hyperlink>
      <w:r>
        <w:rPr>
          <w:rFonts w:eastAsia="georgia" w:cs="georgia" w:ascii="georgia" w:hAnsi="georgia"/>
          <w:color w:val="000000"/>
          <w:sz w:val="21"/>
        </w:rPr>
        <w:t xml:space="preserve">).</w:t>
      </w:r>
    </w:p>
    <w:p>
      <w:pPr>
        <w:numPr>
          <w:ilvl w:val="0"/>
          <w:numId w:val="5"/>
        </w:numPr>
        <w:spacing w:line="360" w:before="105" w:after="105" w:lineRule="auto"/>
      </w:pPr>
      <w:r>
        <w:rPr>
          <w:rFonts w:eastAsia="georgia" w:cs="georgia" w:ascii="georgia" w:hAnsi="georgia"/>
          <w:b/>
          <w:color w:val="000000"/>
          <w:sz w:val="21"/>
        </w:rPr>
        <w:t xml:space="preserve">Sandy Weill's 2012 about-turn.</w:t>
      </w:r>
      <w:r>
        <w:rPr>
          <w:rFonts w:eastAsia="georgia" w:cs="georgia" w:ascii="georgia" w:hAnsi="georgia"/>
          <w:color w:val="000000"/>
          <w:sz w:val="21"/>
        </w:rPr>
        <w:t xml:space="preserve"> The man who personally drove the Citigroup merger publicly told CNBC on 25 July 2012 that the commercial and investment banks should be split back apart. By then he had pocketed his career's earnings and the cost was somebody else's.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2" w:name="bm_6_the_single_sentence_version"/>
      <w:r>
        <w:rPr>
          <w:rFonts w:eastAsia="georgia" w:cs="georgia" w:ascii="georgia" w:hAnsi="georgia"/>
          <w:b/>
          <w:color w:val="000000"/>
          <w:sz w:val="24"/>
        </w:rPr>
        <w:t xml:space="preserve">6. The Single-Sentence Version</w:t>
      </w:r>
      <w:bookmarkEnd w:id="12"/>
    </w:p>
    <w:p>
      <w:pPr>
        <w:spacing w:line="360" w:after="210" w:lineRule="auto"/>
        <w:ind w:left="630"/>
      </w:pPr>
      <w:r>
        <w:rPr>
          <w:rFonts w:eastAsia="georgia" w:cs="georgia" w:ascii="georgia" w:hAnsi="georgia"/>
          <w:b/>
          <w:color w:val="000000"/>
        </w:rPr>
        <w:t xml:space="preserve">J.P. Morgan dismantled Glass-Steagall in practice through Federal Reserve orders between 1989 and 1996, Citigroup dismantled it in statute through a 1998 merger that was illegal at the time of announcement, and Clinton's Treasury Secretary — formerly of Goldman Sachs, later of Citigroup — refused to enforce the law his department was charged with enforcing, then signed off on its repeal four months before joining the firm whose illegal merger the repeal retroactively legalised.</w:t>
      </w:r>
    </w:p>
    <w:p>
      <w:pPr>
        <w:spacing w:line="360" w:after="210" w:lineRule="auto"/>
      </w:pPr>
      <w:r>
        <w:rPr>
          <w:rFonts w:eastAsia="georgia" w:cs="georgia" w:ascii="georgia" w:hAnsi="georgia"/>
          <w:color w:val="000000"/>
        </w:rPr>
        <w:t xml:space="preserve">Every clause in that sentence is documented in the primary record cited above.</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3" w:name="sources_primary_in_order_of_citation"/>
      <w:r>
        <w:rPr>
          <w:rFonts w:eastAsia="georgia" w:cs="georgia" w:ascii="georgia" w:hAnsi="georgia"/>
          <w:b/>
          <w:color w:val="000000"/>
          <w:sz w:val="24"/>
        </w:rPr>
        <w:t xml:space="preserve">Sources (primary, in order of citation)</w:t>
      </w:r>
      <w:bookmarkEnd w:id="13"/>
    </w:p>
    <w:p>
      <w:pPr>
        <w:numPr>
          <w:ilvl w:val="0"/>
          <w:numId w:val="6"/>
        </w:numPr>
        <w:spacing w:line="360" w:before="105" w:after="105" w:lineRule="auto"/>
      </w:pPr>
      <w:r>
        <w:rPr>
          <w:rFonts w:eastAsia="georgia" w:cs="georgia" w:ascii="georgia" w:hAnsi="georgia"/>
          <w:b/>
          <w:color w:val="000000"/>
          <w:sz w:val="21"/>
        </w:rPr>
        <w:t xml:space="preserve">Federal Reserve Board Order approving J.P. Morgan Securities Inc., 22 November 1989</w:t>
      </w:r>
      <w:r>
        <w:rPr>
          <w:rFonts w:eastAsia="georgia" w:cs="georgia" w:ascii="georgia" w:hAnsi="georgia"/>
          <w:color w:val="000000"/>
          <w:sz w:val="21"/>
        </w:rPr>
        <w:t xml:space="preserve"> — </w:t>
      </w:r>
      <w:hyperlink r:id="rId21">
        <w:r>
          <w:rPr>
            <w:rFonts w:eastAsia="helvetica neue" w:cs="helvetica neue" w:ascii="helvetica neue" w:hAnsi="helvetica neue"/>
            <w:color w:val="#000"/>
            <w:sz w:val="21"/>
            <w:u w:val="single"/>
          </w:rPr>
          <w:t xml:space="preserve">sechistorical.org PDF</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LA Times, </w:t>
      </w:r>
      <w:r>
        <w:rPr>
          <w:rFonts w:eastAsia="georgia" w:cs="georgia" w:ascii="georgia" w:hAnsi="georgia"/>
          <w:b/>
          <w:i/>
          <w:color w:val="000000"/>
          <w:sz w:val="21"/>
        </w:rPr>
        <w:t xml:space="preserve">Fed Gives Bank Limited Right to Deal in Stocks, 21 September 1990</w:t>
      </w:r>
      <w:r>
        <w:rPr>
          <w:rFonts w:eastAsia="georgia" w:cs="georgia" w:ascii="georgia" w:hAnsi="georgia"/>
          <w:color w:val="000000"/>
          <w:sz w:val="21"/>
        </w:rPr>
        <w:t xml:space="preserve"> — </w:t>
      </w:r>
      <w:hyperlink r:id="rId22">
        <w:r>
          <w:rPr>
            <w:rFonts w:eastAsia="helvetica neue" w:cs="helvetica neue" w:ascii="helvetica neue" w:hAnsi="helvetica neue"/>
            <w:color w:val="#000"/>
            <w:sz w:val="21"/>
            <w:u w:val="single"/>
          </w:rPr>
          <w:t xml:space="preserve">latimes.com</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Federal Reserve System order on Chase Manhattan Section 20 application, 26 April 1994</w:t>
      </w:r>
      <w:r>
        <w:rPr>
          <w:rFonts w:eastAsia="georgia" w:cs="georgia" w:ascii="georgia" w:hAnsi="georgia"/>
          <w:color w:val="000000"/>
          <w:sz w:val="21"/>
        </w:rPr>
        <w:t xml:space="preserve"> — citing the 1989 J.P. Morgan order as precedent: </w:t>
      </w:r>
      <w:hyperlink r:id="rId23">
        <w:r>
          <w:rPr>
            <w:rFonts w:eastAsia="helvetica neue" w:cs="helvetica neue" w:ascii="helvetica neue" w:hAnsi="helvetica neue"/>
            <w:color w:val="#000"/>
            <w:sz w:val="21"/>
            <w:u w:val="single"/>
          </w:rPr>
          <w:t xml:space="preserve">govinfo.gov</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PBS Frontline, </w:t>
      </w:r>
      <w:r>
        <w:rPr>
          <w:rFonts w:eastAsia="georgia" w:cs="georgia" w:ascii="georgia" w:hAnsi="georgia"/>
          <w:b/>
          <w:i/>
          <w:color w:val="000000"/>
          <w:sz w:val="21"/>
        </w:rPr>
        <w:t xml:space="preserve">Mr. Weill Goes To Washington — The Long Demise Of Glass-Steagall</w:t>
      </w:r>
      <w:r>
        <w:rPr>
          <w:rFonts w:eastAsia="georgia" w:cs="georgia" w:ascii="georgia" w:hAnsi="georgia"/>
          <w:color w:val="000000"/>
          <w:sz w:val="21"/>
        </w:rPr>
        <w:t xml:space="preserve"> — full timeline of 1984–1999 Congressional efforts and Fed orders: </w:t>
      </w:r>
      <w:hyperlink r:id="rId24">
        <w:r>
          <w:rPr>
            <w:rFonts w:eastAsia="helvetica neue" w:cs="helvetica neue" w:ascii="helvetica neue" w:hAnsi="helvetica neue"/>
            <w:color w:val="#000"/>
            <w:sz w:val="21"/>
            <w:u w:val="single"/>
          </w:rPr>
          <w:t xml:space="preserve">pbs.org</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Federal Reserve History, </w:t>
      </w:r>
      <w:r>
        <w:rPr>
          <w:rFonts w:eastAsia="georgia" w:cs="georgia" w:ascii="georgia" w:hAnsi="georgia"/>
          <w:b/>
          <w:i/>
          <w:color w:val="000000"/>
          <w:sz w:val="21"/>
        </w:rPr>
        <w:t xml:space="preserve">Financial Services Modernization Act of 1999 (Gramm-Leach-Bliley)</w:t>
      </w:r>
      <w:r>
        <w:rPr>
          <w:rFonts w:eastAsia="georgia" w:cs="georgia" w:ascii="georgia" w:hAnsi="georgia"/>
          <w:color w:val="000000"/>
          <w:sz w:val="21"/>
        </w:rPr>
        <w:t xml:space="preserve"> — </w:t>
      </w:r>
      <w:hyperlink r:id="rId25">
        <w:r>
          <w:rPr>
            <w:rFonts w:eastAsia="helvetica neue" w:cs="helvetica neue" w:ascii="helvetica neue" w:hAnsi="helvetica neue"/>
            <w:color w:val="#000"/>
            <w:sz w:val="21"/>
            <w:u w:val="single"/>
          </w:rPr>
          <w:t xml:space="preserve">federalreservehistory.org</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Investopedia reference summary of GLBA</w:t>
      </w:r>
      <w:r>
        <w:rPr>
          <w:rFonts w:eastAsia="georgia" w:cs="georgia" w:ascii="georgia" w:hAnsi="georgia"/>
          <w:color w:val="000000"/>
          <w:sz w:val="21"/>
        </w:rPr>
        <w:t xml:space="preserve"> — </w:t>
      </w:r>
      <w:hyperlink r:id="rId26">
        <w:r>
          <w:rPr>
            <w:rFonts w:eastAsia="helvetica neue" w:cs="helvetica neue" w:ascii="helvetica neue" w:hAnsi="helvetica neue"/>
            <w:color w:val="#000"/>
            <w:sz w:val="21"/>
            <w:u w:val="single"/>
          </w:rPr>
          <w:t xml:space="preserve">investopedia.com</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Wilmarth, </w:t>
      </w:r>
      <w:r>
        <w:rPr>
          <w:rFonts w:eastAsia="georgia" w:cs="georgia" w:ascii="georgia" w:hAnsi="georgia"/>
          <w:b/>
          <w:i/>
          <w:color w:val="000000"/>
          <w:sz w:val="21"/>
        </w:rPr>
        <w:t xml:space="preserve">The Road to Repeal of the Glass-Steagall Act, George Washington University Law School, 2017</w:t>
      </w:r>
      <w:r>
        <w:rPr>
          <w:rFonts w:eastAsia="georgia" w:cs="georgia" w:ascii="georgia" w:hAnsi="georgia"/>
          <w:color w:val="000000"/>
          <w:sz w:val="21"/>
        </w:rPr>
        <w:t xml:space="preserve"> — naming Clinton, Rubin, Greenspan as endorsers of the Citigroup merger contrary to the statute: </w:t>
      </w:r>
      <w:hyperlink r:id="rId27">
        <w:r>
          <w:rPr>
            <w:rFonts w:eastAsia="helvetica neue" w:cs="helvetica neue" w:ascii="helvetica neue" w:hAnsi="helvetica neue"/>
            <w:color w:val="#000"/>
            <w:sz w:val="21"/>
            <w:u w:val="single"/>
          </w:rPr>
          <w:t xml:space="preserve">scholarship.law.gwu.edu PDF</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US Treasury biographical record, Robert E. Rubin, Treasury Secretary 1995–1999</w:t>
      </w:r>
      <w:r>
        <w:rPr>
          <w:rFonts w:eastAsia="georgia" w:cs="georgia" w:ascii="georgia" w:hAnsi="georgia"/>
          <w:color w:val="000000"/>
          <w:sz w:val="21"/>
        </w:rPr>
        <w:t xml:space="preserve"> — </w:t>
      </w:r>
      <w:hyperlink r:id="rId28">
        <w:r>
          <w:rPr>
            <w:rFonts w:eastAsia="helvetica neue" w:cs="helvetica neue" w:ascii="helvetica neue" w:hAnsi="helvetica neue"/>
            <w:color w:val="#000"/>
            <w:sz w:val="21"/>
            <w:u w:val="single"/>
          </w:rPr>
          <w:t xml:space="preserve">home.treasury.gov</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Miller Center biography, Robert Rubin</w:t>
      </w:r>
      <w:r>
        <w:rPr>
          <w:rFonts w:eastAsia="georgia" w:cs="georgia" w:ascii="georgia" w:hAnsi="georgia"/>
          <w:color w:val="000000"/>
          <w:sz w:val="21"/>
        </w:rPr>
        <w:t xml:space="preserve"> — </w:t>
      </w:r>
      <w:hyperlink r:id="rId29">
        <w:r>
          <w:rPr>
            <w:rFonts w:eastAsia="helvetica neue" w:cs="helvetica neue" w:ascii="helvetica neue" w:hAnsi="helvetica neue"/>
            <w:color w:val="#000"/>
            <w:sz w:val="21"/>
            <w:u w:val="single"/>
          </w:rPr>
          <w:t xml:space="preserve">millercenter.org</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Time, </w:t>
      </w:r>
      <w:r>
        <w:rPr>
          <w:rFonts w:eastAsia="georgia" w:cs="georgia" w:ascii="georgia" w:hAnsi="georgia"/>
          <w:b/>
          <w:i/>
          <w:color w:val="000000"/>
          <w:sz w:val="21"/>
        </w:rPr>
        <w:t xml:space="preserve">Assessing the Mess at Citi, 7 November 2007</w:t>
      </w:r>
      <w:r>
        <w:rPr>
          <w:rFonts w:eastAsia="georgia" w:cs="georgia" w:ascii="georgia" w:hAnsi="georgia"/>
          <w:color w:val="000000"/>
          <w:sz w:val="21"/>
        </w:rPr>
        <w:t xml:space="preserve"> — Rubin's Citigroup compensation: </w:t>
      </w:r>
      <w:hyperlink r:id="rId30">
        <w:r>
          <w:rPr>
            <w:rFonts w:eastAsia="helvetica neue" w:cs="helvetica neue" w:ascii="helvetica neue" w:hAnsi="helvetica neue"/>
            <w:color w:val="#000"/>
            <w:sz w:val="21"/>
            <w:u w:val="single"/>
          </w:rPr>
          <w:t xml:space="preserve">time.com</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Marc Rubinstein, </w:t>
      </w:r>
      <w:r>
        <w:rPr>
          <w:rFonts w:eastAsia="georgia" w:cs="georgia" w:ascii="georgia" w:hAnsi="georgia"/>
          <w:b/>
          <w:i/>
          <w:color w:val="000000"/>
          <w:sz w:val="21"/>
        </w:rPr>
        <w:t xml:space="preserve">Creating a Monster, Net Interest, 2 June 2023</w:t>
      </w:r>
      <w:r>
        <w:rPr>
          <w:rFonts w:eastAsia="georgia" w:cs="georgia" w:ascii="georgia" w:hAnsi="georgia"/>
          <w:color w:val="000000"/>
          <w:sz w:val="21"/>
        </w:rPr>
        <w:t xml:space="preserve"> — Dennis Weatherstone's lobbying of the Fed as J.P. Morgan CEO: </w:t>
      </w:r>
      <w:hyperlink r:id="rId31">
        <w:r>
          <w:rPr>
            <w:rFonts w:eastAsia="helvetica neue" w:cs="helvetica neue" w:ascii="helvetica neue" w:hAnsi="helvetica neue"/>
            <w:color w:val="#000"/>
            <w:sz w:val="21"/>
            <w:u w:val="single"/>
          </w:rPr>
          <w:t xml:space="preserve">netinterest.co</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Salon, 24 June 2015</w:t>
      </w:r>
      <w:r>
        <w:rPr>
          <w:rFonts w:eastAsia="georgia" w:cs="georgia" w:ascii="georgia" w:hAnsi="georgia"/>
          <w:color w:val="000000"/>
          <w:sz w:val="21"/>
        </w:rPr>
        <w:t xml:space="preserve"> — primary news of JPMorgan Securities as the first post-Depression bank subsidiary to lead a corporate bond underwriting: </w:t>
      </w:r>
      <w:hyperlink r:id="rId32">
        <w:r>
          <w:rPr>
            <w:rFonts w:eastAsia="helvetica neue" w:cs="helvetica neue" w:ascii="helvetica neue" w:hAnsi="helvetica neue"/>
            <w:color w:val="#000"/>
            <w:sz w:val="21"/>
            <w:u w:val="single"/>
          </w:rPr>
          <w:t xml:space="preserve">salon.com</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NYT, 13 September 2000</w:t>
      </w:r>
      <w:r>
        <w:rPr>
          <w:rFonts w:eastAsia="georgia" w:cs="georgia" w:ascii="georgia" w:hAnsi="georgia"/>
          <w:color w:val="000000"/>
          <w:sz w:val="21"/>
        </w:rPr>
        <w:t xml:space="preserve"> — J.P. Morgan-Chase Manhattan merger context: </w:t>
      </w:r>
      <w:hyperlink r:id="rId33">
        <w:r>
          <w:rPr>
            <w:rFonts w:eastAsia="helvetica neue" w:cs="helvetica neue" w:ascii="helvetica neue" w:hAnsi="helvetica neue"/>
            <w:color w:val="#000"/>
            <w:sz w:val="21"/>
            <w:u w:val="single"/>
          </w:rPr>
          <w:t xml:space="preserve">nytimes.com</w:t>
        </w:r>
      </w:hyperlink>
      <w:r>
        <w:rPr>
          <w:rFonts w:eastAsia="georgia" w:cs="georgia" w:ascii="georgia" w:hAnsi="georgia"/>
          <w:color w:val="000000"/>
          <w:sz w:val="21"/>
        </w:rPr>
        <w:t xml:space="preserve">.</w:t>
      </w:r>
    </w:p>
    <w:p>
      <w:pPr>
        <w:numPr>
          <w:ilvl w:val="0"/>
          <w:numId w:val="6"/>
        </w:numPr>
        <w:spacing w:line="360" w:before="105" w:after="105" w:lineRule="auto"/>
      </w:pPr>
      <w:r>
        <w:rPr>
          <w:rFonts w:eastAsia="georgia" w:cs="georgia" w:ascii="georgia" w:hAnsi="georgia"/>
          <w:b/>
          <w:color w:val="000000"/>
          <w:sz w:val="21"/>
        </w:rPr>
        <w:t xml:space="preserve">Wikipedia, </w:t>
      </w:r>
      <w:r>
        <w:rPr>
          <w:rFonts w:eastAsia="georgia" w:cs="georgia" w:ascii="georgia" w:hAnsi="georgia"/>
          <w:b/>
          <w:i/>
          <w:color w:val="000000"/>
          <w:sz w:val="21"/>
        </w:rPr>
        <w:t xml:space="preserve">Glass–Steagall in post-financial crisis reform debate</w:t>
      </w:r>
      <w:r>
        <w:rPr>
          <w:rFonts w:eastAsia="georgia" w:cs="georgia" w:ascii="georgia" w:hAnsi="georgia"/>
          <w:color w:val="000000"/>
          <w:sz w:val="21"/>
        </w:rPr>
        <w:t xml:space="preserve"> — Hinchey amendment, Sandy Weill 2012 reversal: </w:t>
      </w:r>
      <w:hyperlink r:id="rId34">
        <w:r>
          <w:rPr>
            <w:rFonts w:eastAsia="helvetica neue" w:cs="helvetica neue" w:ascii="helvetica neue" w:hAnsi="helvetica neue"/>
            <w:color w:val="#000"/>
            <w:sz w:val="21"/>
            <w:u w:val="single"/>
          </w:rPr>
          <w:t xml:space="preserve">en.wikipedia.org</w:t>
        </w:r>
      </w:hyperlink>
      <w:r>
        <w:rPr>
          <w:rFonts w:eastAsia="georgia" w:cs="georgia" w:ascii="georgia" w:hAnsi="georgia"/>
          <w:color w:val="000000"/>
          <w:sz w:val="21"/>
        </w:rPr>
        <w:t xml:space="preserve">.</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georgia">
    <w:family w:val="auto"/>
    <w:pitch w:val="variable"/>
  </w:font>
  <w:font w:name="helvetica neue">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decimal"/>
      <w:lvlText w:val="%1."/>
      <w:lvlJc w:val="left"/>
      <w:pPr>
        <w:tabs>
          <w:tab w:val="num" w:pos="900"/>
        </w:tabs>
        <w:ind w:left="540" w:hanging="360"/>
      </w:p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n-US"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pbs.org/wgbh/pages/frontline/shows/wallstreet/weill/demise.html" TargetMode="External"/><Relationship Id="rId6" Type="http://schemas.openxmlformats.org/officeDocument/2006/relationships/hyperlink" Target="https://www.sechistorical.org/collection/papers/1980/1989_1122_FederalMorgan.pdf" TargetMode="External"/><Relationship Id="rId7" Type="http://schemas.openxmlformats.org/officeDocument/2006/relationships/hyperlink" Target="https://www.latimes.com/archives/la-xpm-1990-09-21-mn-700-story.html" TargetMode="External"/><Relationship Id="rId8" Type="http://schemas.openxmlformats.org/officeDocument/2006/relationships/hyperlink" Target="https://www.salon.com/2015/06/24/wall_street_is_all_in_for_jeb_enron_goldman_sachs_and_the_forgotten_bush_legacy_partner/" TargetMode="External"/><Relationship Id="rId9" Type="http://schemas.openxmlformats.org/officeDocument/2006/relationships/hyperlink" Target="https://www.govinfo.gov/content/pkg/FR-1994-04-26/html/94-10023.htm" TargetMode="External"/><Relationship Id="rId10" Type="http://schemas.openxmlformats.org/officeDocument/2006/relationships/hyperlink" Target="https://www.netinterest.co/p/creating-a-monster" TargetMode="External"/><Relationship Id="rId11" Type="http://schemas.openxmlformats.org/officeDocument/2006/relationships/hyperlink" Target="https://home.treasury.gov/about/history/prior-secretaries/robert-e-rubin-1995-1999" TargetMode="External"/><Relationship Id="rId12" Type="http://schemas.openxmlformats.org/officeDocument/2006/relationships/hyperlink" Target="https://millercenter.org/president/clinton/essays/rubin-1995-secretary-of-the-treasury" TargetMode="External"/><Relationship Id="rId13" Type="http://schemas.openxmlformats.org/officeDocument/2006/relationships/hyperlink" Target="https://time.com/archive/6682812/assessing-the-mess-at-citi/" TargetMode="External"/><Relationship Id="rId14" Type="http://schemas.openxmlformats.org/officeDocument/2006/relationships/hyperlink" Target="https://www.federalreservehistory.org/essays/gramm-leach-bliley-act" TargetMode="External"/><Relationship Id="rId15" Type="http://schemas.openxmlformats.org/officeDocument/2006/relationships/hyperlink" Target="https://www.investopedia.com/terms/g/glba.asp" TargetMode="External"/><Relationship Id="rId16" Type="http://schemas.openxmlformats.org/officeDocument/2006/relationships/hyperlink" Target="https://www.investopedia.com/terms/g/glba.asp" TargetMode="External"/><Relationship Id="rId17" Type="http://schemas.openxmlformats.org/officeDocument/2006/relationships/hyperlink" Target="https://scholarship.law.gwu.edu/cgi/viewcontent.cgi?article=2556&amp;context=faculty_publications" TargetMode="External"/><Relationship Id="rId18" Type="http://schemas.openxmlformats.org/officeDocument/2006/relationships/hyperlink" Target="https://www.pbs.org/wgbh/pages/frontline/shows/wallstreet/weill/demise.html" TargetMode="External"/><Relationship Id="rId19" Type="http://schemas.openxmlformats.org/officeDocument/2006/relationships/hyperlink" Target="https://www.nytimes.com/2000/09/13/business/banking-s-big-deal-the-tradition-storied-bank-failed-to-move-with-times.html" TargetMode="External"/><Relationship Id="rId20" Type="http://schemas.openxmlformats.org/officeDocument/2006/relationships/hyperlink" Target="https://en.wikipedia.org/wiki/Glass%E2%80%93Steagall_in_post-financial_crisis_reform_debate" TargetMode="External"/><Relationship Id="rId21" Type="http://schemas.openxmlformats.org/officeDocument/2006/relationships/hyperlink" Target="https://www.sechistorical.org/collection/papers/1980/1989_1122_FederalMorgan.pdf" TargetMode="External"/><Relationship Id="rId22" Type="http://schemas.openxmlformats.org/officeDocument/2006/relationships/hyperlink" Target="https://www.latimes.com/archives/la-xpm-1990-09-21-mn-700-story.html" TargetMode="External"/><Relationship Id="rId23" Type="http://schemas.openxmlformats.org/officeDocument/2006/relationships/hyperlink" Target="https://www.govinfo.gov/content/pkg/FR-1994-04-26/html/94-10023.htm" TargetMode="External"/><Relationship Id="rId24" Type="http://schemas.openxmlformats.org/officeDocument/2006/relationships/hyperlink" Target="https://www.pbs.org/wgbh/pages/frontline/shows/wallstreet/weill/demise.html" TargetMode="External"/><Relationship Id="rId25" Type="http://schemas.openxmlformats.org/officeDocument/2006/relationships/hyperlink" Target="https://www.federalreservehistory.org/essays/gramm-leach-bliley-act" TargetMode="External"/><Relationship Id="rId26" Type="http://schemas.openxmlformats.org/officeDocument/2006/relationships/hyperlink" Target="https://www.investopedia.com/terms/g/glba.asp" TargetMode="External"/><Relationship Id="rId27" Type="http://schemas.openxmlformats.org/officeDocument/2006/relationships/hyperlink" Target="https://scholarship.law.gwu.edu/cgi/viewcontent.cgi?article=2556&amp;context=faculty_publications" TargetMode="External"/><Relationship Id="rId28" Type="http://schemas.openxmlformats.org/officeDocument/2006/relationships/hyperlink" Target="https://home.treasury.gov/about/history/prior-secretaries/robert-e-rubin-1995-1999" TargetMode="External"/><Relationship Id="rId29" Type="http://schemas.openxmlformats.org/officeDocument/2006/relationships/hyperlink" Target="https://millercenter.org/president/clinton/essays/rubin-1995-secretary-of-the-treasury" TargetMode="External"/><Relationship Id="rId30" Type="http://schemas.openxmlformats.org/officeDocument/2006/relationships/hyperlink" Target="https://time.com/archive/6682812/assessing-the-mess-at-citi/" TargetMode="External"/><Relationship Id="rId31" Type="http://schemas.openxmlformats.org/officeDocument/2006/relationships/hyperlink" Target="https://www.netinterest.co/p/creating-a-monster" TargetMode="External"/><Relationship Id="rId32" Type="http://schemas.openxmlformats.org/officeDocument/2006/relationships/hyperlink" Target="https://www.salon.com/2015/06/24/wall_street_is_all_in_for_jeb_enron_goldman_sachs_and_the_forgotten_bush_legacy_partner/" TargetMode="External"/><Relationship Id="rId33" Type="http://schemas.openxmlformats.org/officeDocument/2006/relationships/hyperlink" Target="https://www.nytimes.com/2000/09/13/business/banking-s-big-deal-the-tradition-storied-bank-failed-to-move-with-times.html" TargetMode="External"/><Relationship Id="rId34" Type="http://schemas.openxmlformats.org/officeDocument/2006/relationships/hyperlink" Target="https://en.wikipedia.org/wiki/Glass%E2%80%93Steagall_in_post-financial_crisis_reform_debate"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2026-05-19T07:24:04.800Z</dcterms:created>
  <dcterms:modified xsi:type="dcterms:W3CDTF">2026-05-19T07:24:04.800Z</dcterms:modified>
</cp:coreProperties>
</file>