
<file path=[Content_Types].xml><?xml version="1.0" encoding="utf-8"?>
<Types xmlns="http://schemas.openxmlformats.org/package/2006/content-types">
  <Default Extension="rels" ContentType="application/vnd.openxmlformats-package.relationships+xml"/>
  <Default Extension="jpeg" ContentType="image/jpeg"/>
  <Default Extension="png" ContentType="image/png"/>
  <Default Extension="svg" ContentType="image/svg+xml"/>
  <Default Extension="xml" ContentType="application/xml"/>
  <Default Extension="jpg" ContentType="application/octet-stream"/>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a="http://schemas.openxmlformats.org/drawingml/2006/main" xmlns:cdr="http://schemas.openxmlformats.org/drawingml/2006/chartDrawing" xmlns:o="urn:schemas-microsoft-com:office:office" xmlns:pic="http://schemas.openxmlformats.org/drawingml/2006/picture" xmlns:r="http://schemas.openxmlformats.org/officeDocument/2006/relationships" xmlns:m="http://schemas.openxmlformats.org/officeDocument/2006/math" xmlns:v="urn:schemas-microsoft-com:vml" xmlns:ve="http://schemas.openxmlformats.org/markup-compatibility/2006" xmlns:vt="http://schemas.openxmlformats.org/officeDocument/2006/docPropsVTypes" xmlns:w="http://schemas.openxmlformats.org/wordprocessingml/2006/main" xmlns:w10="urn:schemas-microsoft-com:office:word" xmlns:wp="http://schemas.openxmlformats.org/drawingml/2006/wordprocessingDrawing" xmlns:wne="http://schemas.microsoft.com/office/word/2006/wordml" xmlns:a14="http://schemas.microsoft.com/office/drawing/2010/main" xmlns:asvg="http://schemas.microsoft.com/office/drawing/2016/SVG/main">
  <w:body>
    <w:p>
      <w:pPr>
        <w:spacing w:line="270" w:before="157.5" w:after="157.5" w:lineRule="auto"/>
        <w:jc w:val="left"/>
      </w:pPr>
      <w:bookmarkStart w:id="0" w:name="talking_to_a_friend_at_leonardo_a_37406f"/>
      <w:r>
        <w:rPr>
          <w:rFonts w:eastAsia="georgia" w:cs="georgia" w:ascii="georgia" w:hAnsi="georgia"/>
          <w:b/>
          <w:color w:val="000000"/>
          <w:sz w:val="39"/>
        </w:rPr>
        <w:t xml:space="preserve">Talking to a Friend at Leonardo — A Comms Kit That Argues from Arithmetic, Not Morality</w:t>
      </w:r>
      <w:bookmarkEnd w:id="0"/>
    </w:p>
    <w:p>
      <w:pPr>
        <w:spacing w:line="360" w:after="210" w:lineRule="auto"/>
      </w:pPr>
      <w:r>
        <w:rPr>
          <w:rFonts w:eastAsia="georgia" w:cs="georgia" w:ascii="georgia" w:hAnsi="georgia"/>
          <w:color w:val="000000"/>
        </w:rPr>
        <w:t xml:space="preserve">For people who have friends, family, or colleagues inside Leonardo SpA or its supply chain (Eurofighter, AW101/AW149/AW139, Kronos radar, DRS, MBDA, Avio Aero, Augusta-Westland heritage sites). Built for the case where you do not want to harm the relationship and you do not want to walk in with moral talking points the engineer can dismiss as "activist."</w:t>
      </w:r>
    </w:p>
    <w:p>
      <w:pPr>
        <w:spacing w:line="360" w:after="210" w:lineRule="auto"/>
      </w:pPr>
      <w:r>
        <w:rPr>
          <w:rFonts w:eastAsia="georgia" w:cs="georgia" w:ascii="georgia" w:hAnsi="georgia"/>
          <w:color w:val="000000"/>
        </w:rPr>
        <w:t xml:space="preserve">The thesis is one sentence:</w:t>
      </w:r>
    </w:p>
    <w:p>
      <w:pPr>
        <w:spacing w:line="360" w:after="210" w:lineRule="auto"/>
        <w:ind w:left="630"/>
      </w:pPr>
      <w:r>
        <w:rPr>
          <w:rFonts w:eastAsia="georgia" w:cs="georgia" w:ascii="georgia" w:hAnsi="georgia"/>
          <w:color w:val="000000"/>
        </w:rPr>
        <w:t xml:space="preserve">Leonardo's own published position acknowledges that the critical minerals their flagship programmes depend on are running out, geographically concentrated in adversary states, and competing directly with the materials needed for the energy transition. The arithmetic of finite reserves does not care whether the metal goes into a Eurofighter or a wind turbine. It can only go into one. They have already chosen, on the public record. Your friend can read it.</w:t>
      </w:r>
    </w:p>
    <w:p>
      <w:pPr>
        <w:spacing w:line="360" w:after="210" w:lineRule="auto"/>
      </w:pPr>
      <w:r>
        <w:rPr>
          <w:rFonts w:eastAsia="georgia" w:cs="georgia" w:ascii="georgia" w:hAnsi="georgia"/>
          <w:color w:val="000000"/>
        </w:rPr>
        <w:t xml:space="preserve">This kit is not designed to convert. It is designed to give a smart engineer or scientist the data to look at their own company's published page, do the maths, and arrive at a private conclusion. That conclusion is theirs to live with. Your job is to put the page in front of them.</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 w:name="opening_line_that_buys_you_the_co_383100"/>
      <w:r>
        <w:rPr>
          <w:rFonts w:eastAsia="georgia" w:cs="georgia" w:ascii="georgia" w:hAnsi="georgia"/>
          <w:b/>
          <w:color w:val="000000"/>
          <w:sz w:val="24"/>
        </w:rPr>
        <w:t xml:space="preserve">Opening line that buys you the conversation</w:t>
      </w:r>
      <w:bookmarkEnd w:id="1"/>
    </w:p>
    <w:p>
      <w:pPr>
        <w:spacing w:line="360" w:after="210" w:lineRule="auto"/>
        <w:ind w:left="630"/>
      </w:pPr>
      <w:r>
        <w:rPr>
          <w:rFonts w:eastAsia="georgia" w:cs="georgia" w:ascii="georgia" w:hAnsi="georgia"/>
          <w:color w:val="000000"/>
        </w:rPr>
        <w:t xml:space="preserve">"I know you're not going to agree with most of what's being said about Leonardo right now. I'm not here to argue politics. I want you to look at something your own company published and tell me whether the numbers in it work, because I genuinely can't make them work and I think you might be able to."</w:t>
      </w:r>
    </w:p>
    <w:p>
      <w:pPr>
        <w:spacing w:line="360" w:after="210" w:lineRule="auto"/>
      </w:pPr>
      <w:r>
        <w:rPr>
          <w:rFonts w:eastAsia="georgia" w:cs="georgia" w:ascii="georgia" w:hAnsi="georgia"/>
          <w:color w:val="000000"/>
        </w:rPr>
        <w:t xml:space="preserve">Why this opens doors:</w:t>
      </w:r>
    </w:p>
    <w:p>
      <w:pPr>
        <w:numPr>
          <w:ilvl w:val="0"/>
          <w:numId w:val="1"/>
        </w:numPr>
        <w:spacing w:line="360" w:before="105" w:after="105" w:lineRule="auto"/>
      </w:pPr>
      <w:r>
        <w:rPr>
          <w:rFonts w:eastAsia="georgia" w:cs="georgia" w:ascii="georgia" w:hAnsi="georgia"/>
          <w:color w:val="000000"/>
          <w:sz w:val="21"/>
        </w:rPr>
        <w:t xml:space="preserve">It concedes politics is contested.</w:t>
      </w:r>
    </w:p>
    <w:p>
      <w:pPr>
        <w:numPr>
          <w:ilvl w:val="0"/>
          <w:numId w:val="1"/>
        </w:numPr>
        <w:spacing w:line="360" w:before="105" w:after="105" w:lineRule="auto"/>
      </w:pPr>
      <w:r>
        <w:rPr>
          <w:rFonts w:eastAsia="georgia" w:cs="georgia" w:ascii="georgia" w:hAnsi="georgia"/>
          <w:color w:val="000000"/>
          <w:sz w:val="21"/>
        </w:rPr>
        <w:t xml:space="preserve">It treats them as the expert.</w:t>
      </w:r>
    </w:p>
    <w:p>
      <w:pPr>
        <w:numPr>
          <w:ilvl w:val="0"/>
          <w:numId w:val="1"/>
        </w:numPr>
        <w:spacing w:line="360" w:before="105" w:after="105" w:lineRule="auto"/>
      </w:pPr>
      <w:r>
        <w:rPr>
          <w:rFonts w:eastAsia="georgia" w:cs="georgia" w:ascii="georgia" w:hAnsi="georgia"/>
          <w:color w:val="000000"/>
          <w:sz w:val="21"/>
        </w:rPr>
        <w:t xml:space="preserve">It points at a primary source authored by their employer, which is professionally safe for them to read.</w:t>
      </w:r>
    </w:p>
    <w:p>
      <w:pPr>
        <w:numPr>
          <w:ilvl w:val="0"/>
          <w:numId w:val="1"/>
        </w:numPr>
        <w:spacing w:line="360" w:before="105" w:after="105" w:lineRule="auto"/>
      </w:pPr>
      <w:r>
        <w:rPr>
          <w:rFonts w:eastAsia="georgia" w:cs="georgia" w:ascii="georgia" w:hAnsi="georgia"/>
          <w:color w:val="000000"/>
          <w:sz w:val="21"/>
        </w:rPr>
        <w:t xml:space="preserve">It asks for help, not for repentance.</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 w:name="the_single_page_to_send_them_first"/>
      <w:r>
        <w:rPr>
          <w:rFonts w:eastAsia="georgia" w:cs="georgia" w:ascii="georgia" w:hAnsi="georgia"/>
          <w:b/>
          <w:color w:val="000000"/>
          <w:sz w:val="24"/>
        </w:rPr>
        <w:t xml:space="preserve">The single page to send them first</w:t>
      </w:r>
      <w:bookmarkEnd w:id="2"/>
    </w:p>
    <w:p>
      <w:pPr>
        <w:spacing w:line="360" w:after="210" w:lineRule="auto"/>
      </w:pPr>
      <w:hyperlink r:id="rId5">
        <w:r>
          <w:rPr>
            <w:rFonts w:eastAsia="helvetica neue" w:cs="helvetica neue" w:ascii="helvetica neue" w:hAnsi="helvetica neue"/>
            <w:color w:val="#000"/>
            <w:u w:val="single"/>
          </w:rPr>
          <w:t xml:space="preserve">Leonardo SpA — CRM4Defence Project</w:t>
        </w:r>
      </w:hyperlink>
    </w:p>
    <w:p>
      <w:pPr>
        <w:spacing w:line="360" w:after="210" w:lineRule="auto"/>
      </w:pPr>
      <w:r>
        <w:rPr>
          <w:rFonts w:eastAsia="georgia" w:cs="georgia" w:ascii="georgia" w:hAnsi="georgia"/>
          <w:color w:val="000000"/>
        </w:rPr>
        <w:t xml:space="preserve">That is Leonardo's own corporate page about its Critical Raw Materials for Defence programme. On it, Leonardo states:</w:t>
      </w:r>
    </w:p>
    <w:p>
      <w:pPr>
        <w:numPr>
          <w:ilvl w:val="0"/>
          <w:numId w:val="2"/>
        </w:numPr>
        <w:spacing w:line="360" w:before="105" w:after="105" w:lineRule="auto"/>
      </w:pPr>
      <w:r>
        <w:rPr>
          <w:rFonts w:eastAsia="georgia" w:cs="georgia" w:ascii="georgia" w:hAnsi="georgia"/>
          <w:color w:val="000000"/>
          <w:sz w:val="21"/>
        </w:rPr>
        <w:t xml:space="preserve">98% of Europe's rare earths come from China.</w:t>
      </w:r>
    </w:p>
    <w:p>
      <w:pPr>
        <w:numPr>
          <w:ilvl w:val="0"/>
          <w:numId w:val="2"/>
        </w:numPr>
        <w:spacing w:line="360" w:before="105" w:after="105" w:lineRule="auto"/>
      </w:pPr>
      <w:r>
        <w:rPr>
          <w:rFonts w:eastAsia="georgia" w:cs="georgia" w:ascii="georgia" w:hAnsi="georgia"/>
          <w:color w:val="000000"/>
          <w:sz w:val="21"/>
        </w:rPr>
        <w:t xml:space="preserve">93% of Europe's magnesium comes from China.</w:t>
      </w:r>
    </w:p>
    <w:p>
      <w:pPr>
        <w:numPr>
          <w:ilvl w:val="0"/>
          <w:numId w:val="2"/>
        </w:numPr>
        <w:spacing w:line="360" w:before="105" w:after="105" w:lineRule="auto"/>
      </w:pPr>
      <w:r>
        <w:rPr>
          <w:rFonts w:eastAsia="georgia" w:cs="georgia" w:ascii="georgia" w:hAnsi="georgia"/>
          <w:color w:val="000000"/>
          <w:sz w:val="21"/>
        </w:rPr>
        <w:t xml:space="preserve">98% of borates come from Turkey.</w:t>
      </w:r>
    </w:p>
    <w:p>
      <w:pPr>
        <w:numPr>
          <w:ilvl w:val="0"/>
          <w:numId w:val="2"/>
        </w:numPr>
        <w:spacing w:line="360" w:before="105" w:after="105" w:lineRule="auto"/>
      </w:pPr>
      <w:r>
        <w:rPr>
          <w:rFonts w:eastAsia="georgia" w:cs="georgia" w:ascii="georgia" w:hAnsi="georgia"/>
          <w:color w:val="000000"/>
          <w:sz w:val="21"/>
        </w:rPr>
        <w:t xml:space="preserve">71% of platinum comes from South Africa.</w:t>
      </w:r>
    </w:p>
    <w:p>
      <w:pPr>
        <w:numPr>
          <w:ilvl w:val="0"/>
          <w:numId w:val="2"/>
        </w:numPr>
        <w:spacing w:line="360" w:before="105" w:after="105" w:lineRule="auto"/>
      </w:pPr>
      <w:r>
        <w:rPr>
          <w:rFonts w:eastAsia="georgia" w:cs="georgia" w:ascii="georgia" w:hAnsi="georgia"/>
          <w:color w:val="000000"/>
          <w:sz w:val="21"/>
        </w:rPr>
        <w:t xml:space="preserve">The Eurofighter Typhoon depends on titanium, tungsten, and rare earths.</w:t>
      </w:r>
    </w:p>
    <w:p>
      <w:pPr>
        <w:numPr>
          <w:ilvl w:val="0"/>
          <w:numId w:val="2"/>
        </w:numPr>
        <w:spacing w:line="360" w:before="105" w:after="105" w:lineRule="auto"/>
      </w:pPr>
      <w:r>
        <w:rPr>
          <w:rFonts w:eastAsia="georgia" w:cs="georgia" w:ascii="georgia" w:hAnsi="georgia"/>
          <w:color w:val="000000"/>
          <w:sz w:val="21"/>
        </w:rPr>
        <w:t xml:space="preserve">The AW101 helicopter depends on magnesium and rare earths.</w:t>
      </w:r>
    </w:p>
    <w:p>
      <w:pPr>
        <w:numPr>
          <w:ilvl w:val="0"/>
          <w:numId w:val="2"/>
        </w:numPr>
        <w:spacing w:line="360" w:before="105" w:after="105" w:lineRule="auto"/>
      </w:pPr>
      <w:r>
        <w:rPr>
          <w:rFonts w:eastAsia="georgia" w:cs="georgia" w:ascii="georgia" w:hAnsi="georgia"/>
          <w:color w:val="000000"/>
          <w:sz w:val="21"/>
        </w:rPr>
        <w:t xml:space="preserve">The Kronos radar depends on gallium and germanium.</w:t>
      </w:r>
    </w:p>
    <w:p>
      <w:pPr>
        <w:numPr>
          <w:ilvl w:val="0"/>
          <w:numId w:val="2"/>
        </w:numPr>
        <w:spacing w:line="360" w:before="105" w:after="105" w:lineRule="auto"/>
      </w:pPr>
      <w:r>
        <w:rPr>
          <w:rFonts w:eastAsia="georgia" w:cs="georgia" w:ascii="georgia" w:hAnsi="georgia"/>
          <w:color w:val="000000"/>
          <w:sz w:val="21"/>
        </w:rPr>
        <w:t xml:space="preserve">"The growing global demand for these materials, driven by the green and digital transitions, creates additional pressure on the availability of resources."</w:t>
      </w:r>
    </w:p>
    <w:p>
      <w:pPr>
        <w:numPr>
          <w:ilvl w:val="0"/>
          <w:numId w:val="2"/>
        </w:numPr>
        <w:spacing w:line="360" w:before="105" w:after="105" w:lineRule="auto"/>
      </w:pPr>
      <w:r>
        <w:rPr>
          <w:rFonts w:eastAsia="georgia" w:cs="georgia" w:ascii="georgia" w:hAnsi="georgia"/>
          <w:color w:val="000000"/>
          <w:sz w:val="21"/>
        </w:rPr>
        <w:t xml:space="preserve">"The concentration of production in a few countries makes supply chains vulnerable to political instability and export restrictions."</w:t>
      </w:r>
    </w:p>
    <w:p>
      <w:pPr>
        <w:spacing w:line="360" w:after="210" w:lineRule="auto"/>
      </w:pPr>
      <w:r>
        <w:rPr>
          <w:rFonts w:eastAsia="georgia" w:cs="georgia" w:ascii="georgia" w:hAnsi="georgia"/>
          <w:color w:val="000000"/>
        </w:rPr>
        <w:t xml:space="preserve">Nothing in the above sentence is contested. Leonardo published it. The corporate web team signed off on it. The sustainability department is paid to put it in front of investors. Your friend cannot dismiss the page as activist propaganda — it is their own employer's risk disclosure.</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3" w:name="the_three_numbers_to_put_in_the_m_968fa9"/>
      <w:r>
        <w:rPr>
          <w:rFonts w:eastAsia="georgia" w:cs="georgia" w:ascii="georgia" w:hAnsi="georgia"/>
          <w:b/>
          <w:color w:val="000000"/>
          <w:sz w:val="24"/>
        </w:rPr>
        <w:t xml:space="preserve">The three numbers to put in the message after the page</w:t>
      </w:r>
      <w:bookmarkEnd w:id="3"/>
    </w:p>
    <w:p>
      <w:pPr>
        <w:spacing w:line="360" w:after="210" w:lineRule="auto"/>
      </w:pPr>
      <w:r>
        <w:rPr>
          <w:rFonts w:eastAsia="georgia" w:cs="georgia" w:ascii="georgia" w:hAnsi="georgia"/>
          <w:color w:val="000000"/>
        </w:rPr>
        <w:t xml:space="preserve">All three from the </w:t>
      </w:r>
      <w:r>
        <w:rPr>
          <w:rFonts w:eastAsia="georgia" w:cs="georgia" w:ascii="georgia" w:hAnsi="georgia"/>
          <w:b/>
          <w:color w:val="000000"/>
        </w:rPr>
        <w:t xml:space="preserve">US Geological Survey Mineral Commodity Summaries 2025</w:t>
      </w:r>
      <w:r>
        <w:rPr>
          <w:rFonts w:eastAsia="georgia" w:cs="georgia" w:ascii="georgia" w:hAnsi="georgia"/>
          <w:color w:val="000000"/>
        </w:rPr>
        <w:t xml:space="preserve"> — the global reference for reserves. No environmental NGOs. No journalists. The federal agency that the US Department of Defense uses for its own stockpile planning.</w:t>
      </w:r>
    </w:p>
    <w:p>
      <w:pPr>
        <w:spacing w:line="360" w:after="210" w:lineRule="auto"/>
      </w:pPr>
      <w:hyperlink r:id="rId6">
        <w:r>
          <w:rPr>
            <w:rFonts w:eastAsia="helvetica neue" w:cs="helvetica neue" w:ascii="helvetica neue" w:hAnsi="helvetica neue"/>
            <w:color w:val="#000"/>
            <w:u w:val="single"/>
          </w:rPr>
          <w:t xml:space="preserve">USGS Mineral Commodity Summaries 2025 — entry portal</w:t>
        </w:r>
      </w:hyperlink>
    </w:p>
    <w:p>
      <w:pPr>
        <w:numPr>
          <w:ilvl w:val="0"/>
          <w:numId w:val="3"/>
        </w:numPr>
        <w:spacing w:line="360" w:after="210" w:lineRule="auto"/>
      </w:pPr>
      <w:r>
        <w:rPr>
          <w:rFonts w:eastAsia="georgia" w:cs="georgia" w:ascii="georgia" w:hAnsi="georgia"/>
          <w:b/>
          <w:color w:val="000000"/>
          <w:sz w:val="21"/>
        </w:rPr>
        <w:t xml:space="preserve">Antimony reserves: 2,000,000 tonnes world. Production: 100,000 t/yr. Static depletion horizon: 20 years.</w:t>
      </w:r>
      <w:r>
        <w:rPr>
          <w:rFonts w:eastAsia="georgia" w:cs="georgia" w:ascii="georgia" w:hAnsi="georgia"/>
          <w:color w:val="000000"/>
          <w:sz w:val="21"/>
        </w:rPr>
        <w:t xml:space="preserve"> Of US antimony use, USGS says 40% goes to "metal products, including antimonial lead and ammunition." (</w:t>
      </w:r>
      <w:hyperlink r:id="rId7">
        <w:r>
          <w:rPr>
            <w:rFonts w:eastAsia="helvetica neue" w:cs="helvetica neue" w:ascii="helvetica neue" w:hAnsi="helvetica neue"/>
            <w:color w:val="#000"/>
            <w:sz w:val="21"/>
            <w:u w:val="single"/>
          </w:rPr>
          <w:t xml:space="preserve">USGS 2025 Antimony, page 1, verbatim</w:t>
        </w:r>
      </w:hyperlink>
      <w:r>
        <w:rPr>
          <w:rFonts w:eastAsia="georgia" w:cs="georgia" w:ascii="georgia" w:hAnsi="georgia"/>
          <w:color w:val="000000"/>
          <w:sz w:val="21"/>
        </w:rPr>
        <w:t xml:space="preserve">).</w:t>
      </w:r>
    </w:p>
    <w:p>
      <w:pPr>
        <w:numPr>
          <w:ilvl w:val="0"/>
          <w:numId w:val="3"/>
        </w:numPr>
        <w:spacing w:line="360" w:after="210" w:lineRule="auto"/>
      </w:pPr>
      <w:r>
        <w:rPr>
          <w:rFonts w:eastAsia="georgia" w:cs="georgia" w:ascii="georgia" w:hAnsi="georgia"/>
          <w:b/>
          <w:color w:val="000000"/>
          <w:sz w:val="21"/>
        </w:rPr>
        <w:t xml:space="preserve">Cobalt reserves: 11,000,000 tonnes. Production: 290,000 t/yr. Static horizon: 38 years.</w:t>
      </w:r>
      <w:r>
        <w:rPr>
          <w:rFonts w:eastAsia="georgia" w:cs="georgia" w:ascii="georgia" w:hAnsi="georgia"/>
          <w:color w:val="000000"/>
          <w:sz w:val="21"/>
        </w:rPr>
        <w:t xml:space="preserve"> USGS verbatim: "An estimated 51% of cobalt consumed in the United States was used in superalloys, mainly aircraft gas turbine engines." (</w:t>
      </w:r>
      <w:hyperlink r:id="rId8">
        <w:r>
          <w:rPr>
            <w:rFonts w:eastAsia="helvetica neue" w:cs="helvetica neue" w:ascii="helvetica neue" w:hAnsi="helvetica neue"/>
            <w:color w:val="#000"/>
            <w:sz w:val="21"/>
            <w:u w:val="single"/>
          </w:rPr>
          <w:t xml:space="preserve">USGS 2025 Cobalt</w:t>
        </w:r>
      </w:hyperlink>
      <w:r>
        <w:rPr>
          <w:rFonts w:eastAsia="georgia" w:cs="georgia" w:ascii="georgia" w:hAnsi="georgia"/>
          <w:color w:val="000000"/>
          <w:sz w:val="21"/>
        </w:rPr>
        <w:t xml:space="preserve">).</w:t>
      </w:r>
    </w:p>
    <w:p>
      <w:pPr>
        <w:numPr>
          <w:ilvl w:val="0"/>
          <w:numId w:val="3"/>
        </w:numPr>
        <w:spacing w:line="360" w:after="210" w:lineRule="auto"/>
      </w:pPr>
      <w:r>
        <w:rPr>
          <w:rFonts w:eastAsia="georgia" w:cs="georgia" w:ascii="georgia" w:hAnsi="georgia"/>
          <w:b/>
          <w:color w:val="000000"/>
          <w:sz w:val="21"/>
        </w:rPr>
        <w:t xml:space="preserve">Tungsten reserves: 4,600,000 tonnes. China holds 52% of world reserves and produces 83%.</w:t>
      </w:r>
      <w:r>
        <w:rPr>
          <w:rFonts w:eastAsia="georgia" w:cs="georgia" w:ascii="georgia" w:hAnsi="georgia"/>
          <w:color w:val="000000"/>
          <w:sz w:val="21"/>
        </w:rPr>
        <w:t xml:space="preserve"> USGS lists primary tungsten uses as cemented carbide cutting tools and armour-piercing kinetic-penetrator munitions. China tightened export controls on tungsten to the US on 3 December 2024. (</w:t>
      </w:r>
      <w:hyperlink r:id="rId9">
        <w:r>
          <w:rPr>
            <w:rFonts w:eastAsia="helvetica neue" w:cs="helvetica neue" w:ascii="helvetica neue" w:hAnsi="helvetica neue"/>
            <w:color w:val="#000"/>
            <w:sz w:val="21"/>
            <w:u w:val="single"/>
          </w:rPr>
          <w:t xml:space="preserve">USGS 2025 Tungsten</w:t>
        </w:r>
      </w:hyperlink>
      <w:r>
        <w:rPr>
          <w:rFonts w:eastAsia="georgia" w:cs="georgia" w:ascii="georgia" w:hAnsi="georgia"/>
          <w:color w:val="000000"/>
          <w:sz w:val="21"/>
        </w:rPr>
        <w:t xml:space="preserve">; </w:t>
      </w:r>
      <w:hyperlink r:id="rId10">
        <w:r>
          <w:rPr>
            <w:rFonts w:eastAsia="helvetica neue" w:cs="helvetica neue" w:ascii="helvetica neue" w:hAnsi="helvetica neue"/>
            <w:color w:val="#000"/>
            <w:sz w:val="21"/>
            <w:u w:val="single"/>
          </w:rPr>
          <w:t xml:space="preserve">Chinese Ministry of Commerce, 3 Dec 2024</w:t>
        </w:r>
      </w:hyperlink>
      <w:r>
        <w:rPr>
          <w:rFonts w:eastAsia="georgia" w:cs="georgia" w:ascii="georgia" w:hAnsi="georgia"/>
          <w:color w:val="000000"/>
          <w:sz w:val="21"/>
        </w:rPr>
        <w:t xml:space="preserve">).</w:t>
      </w:r>
    </w:p>
    <w:p>
      <w:pPr>
        <w:spacing w:line="360" w:after="210" w:lineRule="auto"/>
      </w:pPr>
      <w:r>
        <w:rPr>
          <w:rFonts w:eastAsia="georgia" w:cs="georgia" w:ascii="georgia" w:hAnsi="georgia"/>
          <w:color w:val="000000"/>
        </w:rPr>
        <w:t xml:space="preserve">The argument is now closed in three numbers. Leonardo has said it needs the materials. USGS has said the world is running out of them. The same metals go into bullets and panels. The world cannot do both. The choice is being made for bullets.</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4" w:name="the_question_that_lands"/>
      <w:r>
        <w:rPr>
          <w:rFonts w:eastAsia="georgia" w:cs="georgia" w:ascii="georgia" w:hAnsi="georgia"/>
          <w:b/>
          <w:color w:val="000000"/>
          <w:sz w:val="24"/>
        </w:rPr>
        <w:t xml:space="preserve">The question that lands</w:t>
      </w:r>
      <w:bookmarkEnd w:id="4"/>
    </w:p>
    <w:p>
      <w:pPr>
        <w:spacing w:line="360" w:after="210" w:lineRule="auto"/>
        <w:ind w:left="630"/>
      </w:pPr>
      <w:r>
        <w:rPr>
          <w:rFonts w:eastAsia="georgia" w:cs="georgia" w:ascii="georgia" w:hAnsi="georgia"/>
          <w:color w:val="000000"/>
        </w:rPr>
        <w:t xml:space="preserve">"If antimony reserves run out in 20 years at today's rate, and 40% of US antimony already goes into ammunition, then which of Leonardo's programmes are going to be the ones that don't get built — or are we agreeing collectively that the solar grid is the thing that doesn't get built? Because both of those answers come from the same geological budget."</w:t>
      </w:r>
    </w:p>
    <w:p>
      <w:pPr>
        <w:spacing w:line="360" w:after="210" w:lineRule="auto"/>
      </w:pPr>
      <w:r>
        <w:rPr>
          <w:rFonts w:eastAsia="georgia" w:cs="georgia" w:ascii="georgia" w:hAnsi="georgia"/>
          <w:color w:val="000000"/>
        </w:rPr>
        <w:t xml:space="preserve">This is the question a Leonardo engineer cannot dodge with "we make defence systems, sustainability is a different team." There is no different team. There is only one Earth's crust. The same chunk of metal cannot be in both a missile fin and a wind-turbine generator. Their own CRM4Defence page concedes this. USGS confirms the timeline.</w:t>
      </w:r>
    </w:p>
    <w:p>
      <w:pPr>
        <w:spacing w:line="360" w:after="210" w:lineRule="auto"/>
      </w:pPr>
      <w:r>
        <w:rPr>
          <w:rFonts w:eastAsia="georgia" w:cs="georgia" w:ascii="georgia" w:hAnsi="georgia"/>
          <w:color w:val="000000"/>
        </w:rPr>
        <w:t xml:space="preserve">You are asking them, professionally, to acknowledge that the company they work for is competing for the same finite metal that the planet needs to decarbonise, and that their company has chosen — for understandable industrial reasons — to win that competition. You are not accusing them of moral failure. You are asking them to acknowledge a balance-sheet trade-off that their own employer's risk page already states out loud.</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5" w:name="the_follow_up_if_they_engage"/>
      <w:r>
        <w:rPr>
          <w:rFonts w:eastAsia="georgia" w:cs="georgia" w:ascii="georgia" w:hAnsi="georgia"/>
          <w:b/>
          <w:color w:val="000000"/>
          <w:sz w:val="24"/>
        </w:rPr>
        <w:t xml:space="preserve">The follow-up, if they engage</w:t>
      </w:r>
      <w:bookmarkEnd w:id="5"/>
    </w:p>
    <w:p>
      <w:pPr>
        <w:spacing w:line="360" w:after="210" w:lineRule="auto"/>
      </w:pPr>
      <w:r>
        <w:rPr>
          <w:rFonts w:eastAsia="georgia" w:cs="georgia" w:ascii="georgia" w:hAnsi="georgia"/>
          <w:color w:val="000000"/>
        </w:rPr>
        <w:t xml:space="preserve">If the friend comes back with the standard defence-industry rebuttals, here are the calm, source-backed replies. None of these requires raising your voice.</w:t>
      </w:r>
    </w:p>
    <w:p>
      <w:pPr>
        <w:spacing w:line="360" w:before="315" w:after="105" w:lineRule="auto"/>
        <w:ind w:left="-30"/>
        <w:jc w:val="left"/>
      </w:pPr>
      <w:bookmarkStart w:id="6" w:name="rebuttal_1_we_re_recycling_now_up_c612b2"/>
      <w:r>
        <w:rPr>
          <w:rFonts w:eastAsia="georgia" w:cs="georgia" w:ascii="georgia" w:hAnsi="georgia"/>
          <w:b/>
          <w:color w:val="000000"/>
          <w:sz w:val="24"/>
        </w:rPr>
        <w:t xml:space="preserve">Rebuttal 1: "We're recycling now — Uplift360, end-of-life carbon fibre, closed-loop."</w:t>
      </w:r>
      <w:bookmarkEnd w:id="6"/>
    </w:p>
    <w:p>
      <w:pPr>
        <w:spacing w:line="360" w:after="210" w:lineRule="auto"/>
      </w:pPr>
      <w:r>
        <w:rPr>
          <w:rFonts w:eastAsia="georgia" w:cs="georgia" w:ascii="georgia" w:hAnsi="georgia"/>
          <w:color w:val="000000"/>
        </w:rPr>
        <w:t xml:space="preserve">Yes. Leonardo's recycling partnership with Uplift360 is real (</w:t>
      </w:r>
      <w:hyperlink r:id="rId11">
        <w:r>
          <w:rPr>
            <w:rFonts w:eastAsia="helvetica neue" w:cs="helvetica neue" w:ascii="helvetica neue" w:hAnsi="helvetica neue"/>
            <w:color w:val="#000"/>
            <w:u w:val="single"/>
          </w:rPr>
          <w:t xml:space="preserve">Leonardo press release, 1 April 2026</w:t>
        </w:r>
      </w:hyperlink>
      <w:r>
        <w:rPr>
          <w:rFonts w:eastAsia="georgia" w:cs="georgia" w:ascii="georgia" w:hAnsi="georgia"/>
          <w:color w:val="000000"/>
        </w:rPr>
        <w:t xml:space="preserve">). The Uplift360 pilot facility will recover up to </w:t>
      </w:r>
      <w:r>
        <w:rPr>
          <w:rFonts w:eastAsia="georgia" w:cs="georgia" w:ascii="georgia" w:hAnsi="georgia"/>
          <w:b/>
          <w:color w:val="000000"/>
        </w:rPr>
        <w:t xml:space="preserve">7 tonnes of recycled carbon fibre per year</w:t>
      </w:r>
      <w:r>
        <w:rPr>
          <w:rFonts w:eastAsia="georgia" w:cs="georgia" w:ascii="georgia" w:hAnsi="georgia"/>
          <w:color w:val="000000"/>
        </w:rPr>
        <w:t xml:space="preserve"> when it launches.</w:t>
      </w:r>
    </w:p>
    <w:p>
      <w:pPr>
        <w:spacing w:line="360" w:after="210" w:lineRule="auto"/>
      </w:pPr>
      <w:r>
        <w:rPr>
          <w:rFonts w:eastAsia="georgia" w:cs="georgia" w:ascii="georgia" w:hAnsi="georgia"/>
          <w:color w:val="000000"/>
        </w:rPr>
        <w:t xml:space="preserve">7 tonnes per year. A single AW101 helicopter contains roughly 2-3 tonnes of advanced composites. The Eurofighter Typhoon programme delivers dozens per year. The recycling number is real, and it is two orders of magnitude below the inflow rate. The recycling programme is a hedge, not a solution — Leonardo's own engineering team can confirm this on the back of an envelope. The phrase "circular economy" is being used to describe a pilot facility, not a closed loop.</w:t>
      </w:r>
    </w:p>
    <w:p>
      <w:pPr>
        <w:spacing w:line="360" w:after="210" w:lineRule="auto"/>
      </w:pPr>
      <w:r>
        <w:rPr>
          <w:rFonts w:eastAsia="georgia" w:cs="georgia" w:ascii="georgia" w:hAnsi="georgia"/>
          <w:color w:val="000000"/>
        </w:rPr>
        <w:t xml:space="preserve">Recycling does not recover antimony from a detonated round. It does not recover tungsten from an armour-piercing penetrator embedded in vaporised steel. It does not recover germanium from a thermal-imaging optic destroyed in combat. Combat consumption is one-way. The USGS reserves figure already assumes optimistic levels of secondary recovery and it still gives 20 years for antimony.</w:t>
      </w:r>
    </w:p>
    <w:p>
      <w:pPr>
        <w:spacing w:line="360" w:before="315" w:after="105" w:lineRule="auto"/>
        <w:ind w:left="-30"/>
        <w:jc w:val="left"/>
      </w:pPr>
      <w:bookmarkStart w:id="7" w:name="rebuttal_2_demand_from_the_green_50d2ab"/>
      <w:r>
        <w:rPr>
          <w:rFonts w:eastAsia="georgia" w:cs="georgia" w:ascii="georgia" w:hAnsi="georgia"/>
          <w:b/>
          <w:color w:val="000000"/>
          <w:sz w:val="24"/>
        </w:rPr>
        <w:t xml:space="preserve">Rebuttal 2: "Demand from the green transition is the real driver, not us."</w:t>
      </w:r>
      <w:bookmarkEnd w:id="7"/>
    </w:p>
    <w:p>
      <w:pPr>
        <w:spacing w:line="360" w:after="210" w:lineRule="auto"/>
      </w:pPr>
      <w:r>
        <w:rPr>
          <w:rFonts w:eastAsia="georgia" w:cs="georgia" w:ascii="georgia" w:hAnsi="georgia"/>
          <w:color w:val="000000"/>
        </w:rPr>
        <w:t xml:space="preserve">This is the rebuttal the Leonardo sustainability page literally invites — "driven by the green and digital transitions." It is half true and worth conceding gently. Then move the conversation to the actual numbers.</w:t>
      </w:r>
    </w:p>
    <w:p>
      <w:pPr>
        <w:spacing w:line="360" w:after="210" w:lineRule="auto"/>
      </w:pPr>
      <w:r>
        <w:rPr>
          <w:rFonts w:eastAsia="georgia" w:cs="georgia" w:ascii="georgia" w:hAnsi="georgia"/>
          <w:color w:val="000000"/>
        </w:rPr>
        <w:t xml:space="preserve">Pull up the </w:t>
      </w:r>
      <w:hyperlink r:id="rId12">
        <w:r>
          <w:rPr>
            <w:rFonts w:eastAsia="helvetica neue" w:cs="helvetica neue" w:ascii="helvetica neue" w:hAnsi="helvetica neue"/>
            <w:color w:val="#000"/>
            <w:u w:val="single"/>
          </w:rPr>
          <w:t xml:space="preserve">IEA Critical Minerals for Clean Energy Transitions, 2021</w:t>
        </w:r>
      </w:hyperlink>
      <w:r>
        <w:rPr>
          <w:rFonts w:eastAsia="georgia" w:cs="georgia" w:ascii="georgia" w:hAnsi="georgia"/>
          <w:color w:val="000000"/>
        </w:rPr>
        <w:t xml:space="preserve">. The IEA's Sustainable Development Scenario projects cumulative copper demand 2020-2050 of ~700 Mt. World reserves are 980 Mt. After the transition, 280 Mt of headroom. Building construction alone consumes 9.7 Mt of copper per year. Over 28 years that is 270 Mt. </w:t>
      </w:r>
      <w:r>
        <w:rPr>
          <w:rFonts w:eastAsia="georgia" w:cs="georgia" w:ascii="georgia" w:hAnsi="georgia"/>
          <w:b/>
          <w:color w:val="000000"/>
        </w:rPr>
        <w:t xml:space="preserve">The transition demand alone almost exhausts the geological budget. There is no room for the war economy on top of it.</w:t>
      </w:r>
    </w:p>
    <w:p>
      <w:pPr>
        <w:spacing w:line="360" w:after="210" w:lineRule="auto"/>
      </w:pPr>
      <w:r>
        <w:rPr>
          <w:rFonts w:eastAsia="georgia" w:cs="georgia" w:ascii="georgia" w:hAnsi="georgia"/>
          <w:color w:val="000000"/>
        </w:rPr>
        <w:t xml:space="preserve">Then the question lands harder: "If the green transition is the real driver, then the defence industry consuming the same metals at the same time is what makes the transition geologically impossible. Which one does Leonardo think survives?"</w:t>
      </w:r>
    </w:p>
    <w:p>
      <w:pPr>
        <w:spacing w:line="360" w:before="315" w:after="105" w:lineRule="auto"/>
        <w:ind w:left="-30"/>
        <w:jc w:val="left"/>
      </w:pPr>
      <w:bookmarkStart w:id="8" w:name="rebuttal_3_it_s_national_security_6c4849"/>
      <w:r>
        <w:rPr>
          <w:rFonts w:eastAsia="georgia" w:cs="georgia" w:ascii="georgia" w:hAnsi="georgia"/>
          <w:b/>
          <w:color w:val="000000"/>
          <w:sz w:val="24"/>
        </w:rPr>
        <w:t xml:space="preserve">Rebuttal 3: "It's national security. We don't get to choose. The state buys what we build."</w:t>
      </w:r>
      <w:bookmarkEnd w:id="8"/>
    </w:p>
    <w:p>
      <w:pPr>
        <w:spacing w:line="360" w:after="210" w:lineRule="auto"/>
      </w:pPr>
      <w:r>
        <w:rPr>
          <w:rFonts w:eastAsia="georgia" w:cs="georgia" w:ascii="georgia" w:hAnsi="georgia"/>
          <w:color w:val="000000"/>
        </w:rPr>
        <w:t xml:space="preserve">This is the honest version. It is the rebuttal that ends the argument because it is true. Leonardo is contracted to deliver what the Italian, UK, US, and NATO state customers procure. They do not set the demand.</w:t>
      </w:r>
    </w:p>
    <w:p>
      <w:pPr>
        <w:spacing w:line="360" w:after="210" w:lineRule="auto"/>
      </w:pPr>
      <w:r>
        <w:rPr>
          <w:rFonts w:eastAsia="georgia" w:cs="georgia" w:ascii="georgia" w:hAnsi="georgia"/>
          <w:color w:val="000000"/>
        </w:rPr>
        <w:t xml:space="preserve">The reply is: yes, and that is exactly the conversation we are trying to have in public. We are not arguing that your friend's engineering work is unethical. We are arguing that the </w:t>
      </w:r>
      <w:r>
        <w:rPr>
          <w:rFonts w:eastAsia="georgia" w:cs="georgia" w:ascii="georgia" w:hAnsi="georgia"/>
          <w:i/>
          <w:color w:val="000000"/>
        </w:rPr>
        <w:t xml:space="preserve">procurement decisions of the state</w:t>
      </w:r>
      <w:r>
        <w:rPr>
          <w:rFonts w:eastAsia="georgia" w:cs="georgia" w:ascii="georgia" w:hAnsi="georgia"/>
          <w:color w:val="000000"/>
        </w:rPr>
        <w:t xml:space="preserve"> — the ones being lobbied for by JPMorgan, BAE, Leonardo, RTX, Lockheed, and the supply chain underneath them — are spending the same metals the planet needs to decarbonise. The lobbying happens at NATO and at the European Defence Agency. It happens at HM Treasury. It is the role of the engineer to know what the metal is being spent on and on what timeline that metal disappears.</w:t>
      </w:r>
    </w:p>
    <w:p>
      <w:pPr>
        <w:spacing w:line="360" w:after="210" w:lineRule="auto"/>
      </w:pPr>
      <w:r>
        <w:rPr>
          <w:rFonts w:eastAsia="georgia" w:cs="georgia" w:ascii="georgia" w:hAnsi="georgia"/>
          <w:color w:val="000000"/>
        </w:rPr>
        <w:t xml:space="preserve">The engineer is not the enemy. The procurement-and-finance loop is. Your friend's silence — or their decision to speak up internally — is what tips the balance.</w:t>
      </w:r>
    </w:p>
    <w:p>
      <w:pPr>
        <w:spacing w:line="360" w:before="315" w:after="105" w:lineRule="auto"/>
        <w:ind w:left="-30"/>
        <w:jc w:val="left"/>
      </w:pPr>
      <w:bookmarkStart w:id="9" w:name="rebuttal_4_china_is_the_real_prob_745f08"/>
      <w:r>
        <w:rPr>
          <w:rFonts w:eastAsia="georgia" w:cs="georgia" w:ascii="georgia" w:hAnsi="georgia"/>
          <w:b/>
          <w:color w:val="000000"/>
          <w:sz w:val="24"/>
        </w:rPr>
        <w:t xml:space="preserve">Rebuttal 4: "China is the real problem. Without our supply chain Europe is defenceless."</w:t>
      </w:r>
      <w:bookmarkEnd w:id="9"/>
    </w:p>
    <w:p>
      <w:pPr>
        <w:spacing w:line="360" w:after="210" w:lineRule="auto"/>
      </w:pPr>
      <w:r>
        <w:rPr>
          <w:rFonts w:eastAsia="georgia" w:cs="georgia" w:ascii="georgia" w:hAnsi="georgia"/>
          <w:color w:val="000000"/>
        </w:rPr>
        <w:t xml:space="preserve">Half true. China has weaponised the very rare-earth and antimony supply chain Leonardo depends on. Banned gallium and germanium exports to the US in December 2024. Tightened tungsten in December 2024. Restricted heavy rare earths four times since 2023.</w:t>
      </w:r>
    </w:p>
    <w:p>
      <w:pPr>
        <w:spacing w:line="360" w:after="210" w:lineRule="auto"/>
      </w:pPr>
      <w:r>
        <w:rPr>
          <w:rFonts w:eastAsia="georgia" w:cs="georgia" w:ascii="georgia" w:hAnsi="georgia"/>
          <w:color w:val="000000"/>
        </w:rPr>
        <w:t xml:space="preserve">But the question is what we </w:t>
      </w:r>
      <w:r>
        <w:rPr>
          <w:rFonts w:eastAsia="georgia" w:cs="georgia" w:ascii="georgia" w:hAnsi="georgia"/>
          <w:i/>
          <w:color w:val="000000"/>
        </w:rPr>
        <w:t xml:space="preserve">do</w:t>
      </w:r>
      <w:r>
        <w:rPr>
          <w:rFonts w:eastAsia="georgia" w:cs="georgia" w:ascii="georgia" w:hAnsi="georgia"/>
          <w:color w:val="000000"/>
        </w:rPr>
        <w:t xml:space="preserve"> in response. If the response is to extract more antimony, more cobalt, more tungsten, faster, in order to keep building Eurofighters and Typhoons, we are racing China to the bottom of the same mine. The reserves are global. China running them out faster does not help Europe; it just shortens the timeline for everyone.</w:t>
      </w:r>
    </w:p>
    <w:p>
      <w:pPr>
        <w:spacing w:line="360" w:after="210" w:lineRule="auto"/>
      </w:pPr>
      <w:r>
        <w:rPr>
          <w:rFonts w:eastAsia="georgia" w:cs="georgia" w:ascii="georgia" w:hAnsi="georgia"/>
          <w:color w:val="000000"/>
        </w:rPr>
        <w:t xml:space="preserve">A genuine national-security response is to </w:t>
      </w:r>
      <w:r>
        <w:rPr>
          <w:rFonts w:eastAsia="georgia" w:cs="georgia" w:ascii="georgia" w:hAnsi="georgia"/>
          <w:b/>
          <w:color w:val="000000"/>
        </w:rPr>
        <w:t xml:space="preserve">reduce the metal intensity of defence faster than we reduce the metal intensity of the green transition</w:t>
      </w:r>
      <w:r>
        <w:rPr>
          <w:rFonts w:eastAsia="georgia" w:cs="georgia" w:ascii="georgia" w:hAnsi="georgia"/>
          <w:color w:val="000000"/>
        </w:rPr>
        <w:t xml:space="preserve"> — because the green transition substitutes minerals (LFP batteries swap cobalt out; sodium-ion swaps lithium out; solid-state copper substitution exists). The defence sector does not substitute. There is no LFP version of a tungsten penetrator. There is no sodium-ion missile fin.</w:t>
      </w:r>
    </w:p>
    <w:p>
      <w:pPr>
        <w:spacing w:line="360" w:after="210" w:lineRule="auto"/>
      </w:pPr>
      <w:r>
        <w:rPr>
          <w:rFonts w:eastAsia="georgia" w:cs="georgia" w:ascii="georgia" w:hAnsi="georgia"/>
          <w:color w:val="000000"/>
        </w:rPr>
        <w:t xml:space="preserve">So: if your friend's framing is national security, then the question is whether Leonardo's defence engineering teams could substitute, miniaturise, reduce REE content per airframe, reduce magnesium content per gearbox, reduce antimony content per round. These are engineering questions. They are professionally legitimate to raise inside Leonardo. They are arguably </w:t>
      </w:r>
      <w:r>
        <w:rPr>
          <w:rFonts w:eastAsia="georgia" w:cs="georgia" w:ascii="georgia" w:hAnsi="georgia"/>
          <w:i/>
          <w:color w:val="000000"/>
        </w:rPr>
        <w:t xml:space="preserve">more</w:t>
      </w:r>
      <w:r>
        <w:rPr>
          <w:rFonts w:eastAsia="georgia" w:cs="georgia" w:ascii="georgia" w:hAnsi="georgia"/>
          <w:color w:val="000000"/>
        </w:rPr>
        <w:t xml:space="preserve"> national-security-relevant than scaling up faster.</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0" w:name="three_things_to_ask_the_friend_to_9c40e0"/>
      <w:r>
        <w:rPr>
          <w:rFonts w:eastAsia="georgia" w:cs="georgia" w:ascii="georgia" w:hAnsi="georgia"/>
          <w:b/>
          <w:color w:val="000000"/>
          <w:sz w:val="24"/>
        </w:rPr>
        <w:t xml:space="preserve">Three things to ask the friend to do, in escalating order</w:t>
      </w:r>
      <w:bookmarkEnd w:id="10"/>
    </w:p>
    <w:p>
      <w:pPr>
        <w:spacing w:line="360" w:after="210" w:lineRule="auto"/>
      </w:pPr>
      <w:r>
        <w:rPr>
          <w:rFonts w:eastAsia="georgia" w:cs="georgia" w:ascii="georgia" w:hAnsi="georgia"/>
          <w:color w:val="000000"/>
        </w:rPr>
        <w:t xml:space="preserve">Pick whichever they will say yes to. Do not pile them on.</w:t>
      </w:r>
    </w:p>
    <w:p>
      <w:pPr>
        <w:spacing w:line="360" w:before="315" w:after="105" w:lineRule="auto"/>
        <w:ind w:left="-30"/>
        <w:jc w:val="left"/>
      </w:pPr>
      <w:bookmarkStart w:id="11" w:name="bm_1_read_the_crm4defence_page"/>
      <w:r>
        <w:rPr>
          <w:rFonts w:eastAsia="georgia" w:cs="georgia" w:ascii="georgia" w:hAnsi="georgia"/>
          <w:b/>
          <w:color w:val="000000"/>
          <w:sz w:val="24"/>
        </w:rPr>
        <w:t xml:space="preserve">1. Read the CRM4Defence page</w:t>
      </w:r>
      <w:bookmarkEnd w:id="11"/>
    </w:p>
    <w:p>
      <w:pPr>
        <w:spacing w:line="360" w:after="210" w:lineRule="auto"/>
      </w:pPr>
      <w:r>
        <w:rPr>
          <w:rFonts w:eastAsia="georgia" w:cs="georgia" w:ascii="georgia" w:hAnsi="georgia"/>
          <w:color w:val="000000"/>
        </w:rPr>
        <w:t xml:space="preserve">That is it. Just read it. The page is on their own intranet too, probably. They do not have to send anything onward. They just have to read it and tell you, in their own words, whether the numbers Leonardo published square with the procurement growth Leonardo is also announcing on the same site.</w:t>
      </w:r>
    </w:p>
    <w:p>
      <w:pPr>
        <w:spacing w:line="360" w:before="315" w:after="105" w:lineRule="auto"/>
        <w:ind w:left="-30"/>
        <w:jc w:val="left"/>
      </w:pPr>
      <w:bookmarkStart w:id="12" w:name="bm_2_read_the_usgs_reserves_figur_3046bd"/>
      <w:r>
        <w:rPr>
          <w:rFonts w:eastAsia="georgia" w:cs="georgia" w:ascii="georgia" w:hAnsi="georgia"/>
          <w:b/>
          <w:color w:val="000000"/>
          <w:sz w:val="24"/>
        </w:rPr>
        <w:t xml:space="preserve">2. Read the USGS reserves figures alongside</w:t>
      </w:r>
      <w:bookmarkEnd w:id="12"/>
    </w:p>
    <w:p>
      <w:pPr>
        <w:spacing w:line="360" w:after="210" w:lineRule="auto"/>
      </w:pPr>
      <w:r>
        <w:rPr>
          <w:rFonts w:eastAsia="georgia" w:cs="georgia" w:ascii="georgia" w:hAnsi="georgia"/>
          <w:color w:val="000000"/>
        </w:rPr>
        <w:t xml:space="preserve">Print or screenshot the antimony / cobalt / tungsten lines. Put them next to the CRM4Defence page. Ask one question: "Across the next 20 years, what is the procurement-tonnes-of-antimony figure that Leonardo's order book implies?" If the friend cannot answer it, that is the answer.</w:t>
      </w:r>
    </w:p>
    <w:p>
      <w:pPr>
        <w:spacing w:line="360" w:before="315" w:after="105" w:lineRule="auto"/>
        <w:ind w:left="-30"/>
        <w:jc w:val="left"/>
      </w:pPr>
      <w:bookmarkStart w:id="13" w:name="bm_3_ask_their_team_s_r_d_lead_on_6600f8"/>
      <w:r>
        <w:rPr>
          <w:rFonts w:eastAsia="georgia" w:cs="georgia" w:ascii="georgia" w:hAnsi="georgia"/>
          <w:b/>
          <w:color w:val="000000"/>
          <w:sz w:val="24"/>
        </w:rPr>
        <w:t xml:space="preserve">3. Ask their team's R&amp;D lead one question</w:t>
      </w:r>
      <w:bookmarkEnd w:id="13"/>
    </w:p>
    <w:p>
      <w:pPr>
        <w:spacing w:line="360" w:after="210" w:lineRule="auto"/>
      </w:pPr>
      <w:r>
        <w:rPr>
          <w:rFonts w:eastAsia="georgia" w:cs="georgia" w:ascii="georgia" w:hAnsi="georgia"/>
          <w:color w:val="000000"/>
        </w:rPr>
        <w:t xml:space="preserve">"What is the per-platform critical-raw-material intensity for the Eurofighter EF-2000 mid-life upgrade vs the baseline airframe? Is it going up or down per kg of takeoff weight?" That is a normal engineering question. It is professionally safe. The answer — whichever way it falls — is data your friend can hold inside the company.</w:t>
      </w:r>
    </w:p>
    <w:p>
      <w:pPr>
        <w:spacing w:line="360" w:after="210" w:lineRule="auto"/>
      </w:pPr>
      <w:r>
        <w:rPr>
          <w:rFonts w:eastAsia="georgia" w:cs="georgia" w:ascii="georgia" w:hAnsi="georgia"/>
          <w:color w:val="000000"/>
        </w:rPr>
        <w:t xml:space="preserve">If they say yes to (3), they have started to think about this on their own time, in their own technical language, on a question Leonardo's R&amp;D department is </w:t>
      </w:r>
      <w:r>
        <w:rPr>
          <w:rFonts w:eastAsia="georgia" w:cs="georgia" w:ascii="georgia" w:hAnsi="georgia"/>
          <w:i/>
          <w:color w:val="000000"/>
        </w:rPr>
        <w:t xml:space="preserve">paid</w:t>
      </w:r>
      <w:r>
        <w:rPr>
          <w:rFonts w:eastAsia="georgia" w:cs="georgia" w:ascii="georgia" w:hAnsi="georgia"/>
          <w:color w:val="000000"/>
        </w:rPr>
        <w:t xml:space="preserve"> to think about. That is the only kind of conversion that lasts.</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4" w:name="what_not_to_send_them"/>
      <w:r>
        <w:rPr>
          <w:rFonts w:eastAsia="georgia" w:cs="georgia" w:ascii="georgia" w:hAnsi="georgia"/>
          <w:b/>
          <w:color w:val="000000"/>
          <w:sz w:val="24"/>
        </w:rPr>
        <w:t xml:space="preserve">What not to send them</w:t>
      </w:r>
      <w:bookmarkEnd w:id="14"/>
    </w:p>
    <w:p>
      <w:pPr>
        <w:numPr>
          <w:ilvl w:val="0"/>
          <w:numId w:val="4"/>
        </w:numPr>
        <w:spacing w:line="360" w:before="105" w:after="105" w:lineRule="auto"/>
      </w:pPr>
      <w:r>
        <w:rPr>
          <w:rFonts w:eastAsia="georgia" w:cs="georgia" w:ascii="georgia" w:hAnsi="georgia"/>
          <w:color w:val="000000"/>
          <w:sz w:val="21"/>
        </w:rPr>
        <w:t xml:space="preserve">Photos of dead children. Their company makes air defence. They have already classified you in their head as "emotional, not analytical" if you lead with these. Send them last, or not at all.</w:t>
      </w:r>
    </w:p>
    <w:p>
      <w:pPr>
        <w:numPr>
          <w:ilvl w:val="0"/>
          <w:numId w:val="4"/>
        </w:numPr>
        <w:spacing w:line="360" w:before="105" w:after="105" w:lineRule="auto"/>
      </w:pPr>
      <w:r>
        <w:rPr>
          <w:rFonts w:eastAsia="georgia" w:cs="georgia" w:ascii="georgia" w:hAnsi="georgia"/>
          <w:color w:val="000000"/>
          <w:sz w:val="21"/>
        </w:rPr>
        <w:t xml:space="preserve">The word "evil." Engineers do not work for a Bond villain. They work for a 53,000-person company with a sustainability page. Use the sustainability page against itself.</w:t>
      </w:r>
    </w:p>
    <w:p>
      <w:pPr>
        <w:numPr>
          <w:ilvl w:val="0"/>
          <w:numId w:val="4"/>
        </w:numPr>
        <w:spacing w:line="360" w:before="105" w:after="105" w:lineRule="auto"/>
      </w:pPr>
      <w:r>
        <w:rPr>
          <w:rFonts w:eastAsia="georgia" w:cs="georgia" w:ascii="georgia" w:hAnsi="georgia"/>
          <w:color w:val="000000"/>
          <w:sz w:val="21"/>
        </w:rPr>
        <w:t xml:space="preserve">A Greenpeace or Amnesty link as the </w:t>
      </w:r>
      <w:r>
        <w:rPr>
          <w:rFonts w:eastAsia="georgia" w:cs="georgia" w:ascii="georgia" w:hAnsi="georgia"/>
          <w:i/>
          <w:color w:val="000000"/>
          <w:sz w:val="21"/>
        </w:rPr>
        <w:t xml:space="preserve">first</w:t>
      </w:r>
      <w:r>
        <w:rPr>
          <w:rFonts w:eastAsia="georgia" w:cs="georgia" w:ascii="georgia" w:hAnsi="georgia"/>
          <w:color w:val="000000"/>
          <w:sz w:val="21"/>
        </w:rPr>
        <w:t xml:space="preserve"> source. Send only government primary documents and Leonardo's own page. The moment they spot an NGO source they will assume the whole pack is filtered.</w:t>
      </w:r>
    </w:p>
    <w:p>
      <w:pPr>
        <w:numPr>
          <w:ilvl w:val="0"/>
          <w:numId w:val="4"/>
        </w:numPr>
        <w:spacing w:line="360" w:before="105" w:after="105" w:lineRule="auto"/>
      </w:pPr>
      <w:r>
        <w:rPr>
          <w:rFonts w:eastAsia="georgia" w:cs="georgia" w:ascii="georgia" w:hAnsi="georgia"/>
          <w:color w:val="000000"/>
          <w:sz w:val="21"/>
        </w:rPr>
        <w:t xml:space="preserve">An argument about Israel or Gaza. Leonardo has Israeli subsystem suppliers and clients. Your friend will shut down. The minerals argument is the one that survives because it is structural, not specific.</w:t>
      </w:r>
    </w:p>
    <w:p>
      <w:pPr>
        <w:numPr>
          <w:ilvl w:val="0"/>
          <w:numId w:val="4"/>
        </w:numPr>
        <w:spacing w:line="360" w:before="105" w:after="105" w:lineRule="auto"/>
      </w:pPr>
      <w:r>
        <w:rPr>
          <w:rFonts w:eastAsia="georgia" w:cs="georgia" w:ascii="georgia" w:hAnsi="georgia"/>
          <w:color w:val="000000"/>
          <w:sz w:val="21"/>
        </w:rPr>
        <w:t xml:space="preserve">A list of demands. The point is to make them think, not to make them sign something.</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5" w:name="what_to_send_them_in_order"/>
      <w:r>
        <w:rPr>
          <w:rFonts w:eastAsia="georgia" w:cs="georgia" w:ascii="georgia" w:hAnsi="georgia"/>
          <w:b/>
          <w:color w:val="000000"/>
          <w:sz w:val="24"/>
        </w:rPr>
        <w:t xml:space="preserve">What to send them, in order</w:t>
      </w:r>
      <w:bookmarkEnd w:id="15"/>
    </w:p>
    <w:p>
      <w:pPr>
        <w:numPr>
          <w:ilvl w:val="0"/>
          <w:numId w:val="5"/>
        </w:numPr>
        <w:spacing w:line="360" w:before="105" w:after="105" w:lineRule="auto"/>
      </w:pPr>
      <w:r>
        <w:rPr>
          <w:rFonts w:eastAsia="georgia" w:cs="georgia" w:ascii="georgia" w:hAnsi="georgia"/>
          <w:color w:val="000000"/>
          <w:sz w:val="21"/>
        </w:rPr>
        <w:t xml:space="preserve">The CRM4Defence page link, with the one-line opener above.</w:t>
      </w:r>
    </w:p>
    <w:p>
      <w:pPr>
        <w:numPr>
          <w:ilvl w:val="0"/>
          <w:numId w:val="5"/>
        </w:numPr>
        <w:spacing w:line="360" w:before="105" w:after="105" w:lineRule="auto"/>
      </w:pPr>
      <w:r>
        <w:rPr>
          <w:rFonts w:eastAsia="georgia" w:cs="georgia" w:ascii="georgia" w:hAnsi="georgia"/>
          <w:color w:val="000000"/>
          <w:sz w:val="21"/>
        </w:rPr>
        <w:t xml:space="preserve">Wait 24-48 hours. Do not push.</w:t>
      </w:r>
    </w:p>
    <w:p>
      <w:pPr>
        <w:numPr>
          <w:ilvl w:val="0"/>
          <w:numId w:val="5"/>
        </w:numPr>
        <w:spacing w:line="360" w:before="105" w:after="105" w:lineRule="auto"/>
      </w:pPr>
      <w:r>
        <w:rPr>
          <w:rFonts w:eastAsia="georgia" w:cs="georgia" w:ascii="georgia" w:hAnsi="georgia"/>
          <w:color w:val="000000"/>
          <w:sz w:val="21"/>
        </w:rPr>
        <w:t xml:space="preserve">If they reply, send the three USGS reserve figures. With the question: "20 years for antimony. 38 for cobalt. Does your platform supply chain assume those run out?"</w:t>
      </w:r>
    </w:p>
    <w:p>
      <w:pPr>
        <w:numPr>
          <w:ilvl w:val="0"/>
          <w:numId w:val="5"/>
        </w:numPr>
        <w:spacing w:line="360" w:before="105" w:after="105" w:lineRule="auto"/>
      </w:pPr>
      <w:r>
        <w:rPr>
          <w:rFonts w:eastAsia="georgia" w:cs="georgia" w:ascii="georgia" w:hAnsi="georgia"/>
          <w:color w:val="000000"/>
          <w:sz w:val="21"/>
        </w:rPr>
        <w:t xml:space="preserve">If they engage further, send the </w:t>
      </w:r>
      <w:hyperlink r:id="rId13">
        <w:r>
          <w:rPr>
            <w:rFonts w:eastAsia="helvetica neue" w:cs="helvetica neue" w:ascii="helvetica neue" w:hAnsi="helvetica neue"/>
            <w:color w:val="#000"/>
            <w:sz w:val="21"/>
            <w:u w:val="single"/>
          </w:rPr>
          <w:t xml:space="preserve">IEA Critical Minerals report 2021</w:t>
        </w:r>
      </w:hyperlink>
      <w:r>
        <w:rPr>
          <w:rFonts w:eastAsia="georgia" w:cs="georgia" w:ascii="georgia" w:hAnsi="georgia"/>
          <w:color w:val="000000"/>
          <w:sz w:val="21"/>
        </w:rPr>
        <w:t xml:space="preserve"> and ask the substitution question.</w:t>
      </w:r>
    </w:p>
    <w:p>
      <w:pPr>
        <w:numPr>
          <w:ilvl w:val="0"/>
          <w:numId w:val="5"/>
        </w:numPr>
        <w:spacing w:line="360" w:before="105" w:after="105" w:lineRule="auto"/>
      </w:pPr>
      <w:r>
        <w:rPr>
          <w:rFonts w:eastAsia="georgia" w:cs="georgia" w:ascii="georgia" w:hAnsi="georgia"/>
          <w:color w:val="000000"/>
          <w:sz w:val="21"/>
        </w:rPr>
        <w:t xml:space="preserve">Only after that, if they want to know who is financing the procurement growth, send them the JPMorgan / nuclear-weapons / defence-bond material from </w:t>
      </w:r>
      <w:hyperlink r:id="rId14">
        <w:r>
          <w:rPr>
            <w:rFonts w:eastAsia="helvetica neue" w:cs="helvetica neue" w:ascii="helvetica neue" w:hAnsi="helvetica neue"/>
            <w:color w:val="#000"/>
            <w:sz w:val="21"/>
            <w:u w:val="single"/>
          </w:rPr>
          <w:t xml:space="preserve">Don't Bank on the Bomb 2026 (PAX/ICAN)</w:t>
        </w:r>
      </w:hyperlink>
      <w:r>
        <w:rPr>
          <w:rFonts w:eastAsia="georgia" w:cs="georgia" w:ascii="georgia" w:hAnsi="georgia"/>
          <w:color w:val="000000"/>
          <w:sz w:val="21"/>
        </w:rPr>
        <w:t xml:space="preserve"> — JPMorgan is the #2 creditor to nuclear-weapons producers ($29.2bn) and #1 underwriter ($10.3bn). Frame it as: the bank is the orchestration layer. Leonardo is downstream of JPMorgan. The minerals are downstream of Leonardo.</w:t>
      </w:r>
    </w:p>
    <w:p>
      <w:pPr>
        <w:spacing w:line="360" w:after="210" w:lineRule="auto"/>
      </w:pPr>
      <w:r>
        <w:rPr>
          <w:rFonts w:eastAsia="georgia" w:cs="georgia" w:ascii="georgia" w:hAnsi="georgia"/>
          <w:color w:val="000000"/>
        </w:rPr>
        <w:t xml:space="preserve">That sequence respects the friend's professional identity, leads with their employer's own admissions, then walks the data backwards to the financing layer.</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6" w:name="the_single_line_to_remember_if_ev_2ab049"/>
      <w:r>
        <w:rPr>
          <w:rFonts w:eastAsia="georgia" w:cs="georgia" w:ascii="georgia" w:hAnsi="georgia"/>
          <w:b/>
          <w:color w:val="000000"/>
          <w:sz w:val="24"/>
        </w:rPr>
        <w:t xml:space="preserve">The single line to remember if everything else fails</w:t>
      </w:r>
      <w:bookmarkEnd w:id="16"/>
    </w:p>
    <w:p>
      <w:pPr>
        <w:spacing w:line="360" w:after="210" w:lineRule="auto"/>
        <w:ind w:left="630"/>
      </w:pPr>
      <w:r>
        <w:rPr>
          <w:rFonts w:eastAsia="georgia" w:cs="georgia" w:ascii="georgia" w:hAnsi="georgia"/>
          <w:color w:val="000000"/>
        </w:rPr>
        <w:t xml:space="preserve">"Your company's own page says 98% of European rare earths come from China and that demand from the green transition is making the squeeze worse. USGS says antimony reserves run out in 20 years. The choice between building defence systems and building the energy transition is no longer rhetorical — it is a procurement-tonnes-per-year arithmetic problem, and Leonardo is in the room making it. I just want to know which way you think it should go."</w:t>
      </w:r>
    </w:p>
    <w:p>
      <w:pPr>
        <w:spacing w:line="360" w:after="210" w:lineRule="auto"/>
      </w:pPr>
      <w:r>
        <w:rPr>
          <w:rFonts w:eastAsia="georgia" w:cs="georgia" w:ascii="georgia" w:hAnsi="georgia"/>
          <w:color w:val="000000"/>
        </w:rPr>
        <w:t xml:space="preserve">That is the whole kit, in one sentence. Everything else in this document is footnotes on that sentence.</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7" w:name="primary_sources_used_in_this_kit"/>
      <w:r>
        <w:rPr>
          <w:rFonts w:eastAsia="georgia" w:cs="georgia" w:ascii="georgia" w:hAnsi="georgia"/>
          <w:b/>
          <w:color w:val="000000"/>
          <w:sz w:val="24"/>
        </w:rPr>
        <w:t xml:space="preserve">Primary sources used in this kit</w:t>
      </w:r>
      <w:bookmarkEnd w:id="17"/>
    </w:p>
    <w:p>
      <w:pPr>
        <w:numPr>
          <w:ilvl w:val="0"/>
          <w:numId w:val="6"/>
        </w:numPr>
        <w:spacing w:line="360" w:before="105" w:after="105" w:lineRule="auto"/>
      </w:pPr>
      <w:hyperlink r:id="rId15">
        <w:r>
          <w:rPr>
            <w:rFonts w:eastAsia="helvetica neue" w:cs="helvetica neue" w:ascii="helvetica neue" w:hAnsi="helvetica neue"/>
            <w:color w:val="#000"/>
            <w:sz w:val="21"/>
            <w:u w:val="single"/>
          </w:rPr>
          <w:t xml:space="preserve">Leonardo SpA — CRM4Defence Project page</w:t>
        </w:r>
      </w:hyperlink>
    </w:p>
    <w:p>
      <w:pPr>
        <w:numPr>
          <w:ilvl w:val="0"/>
          <w:numId w:val="6"/>
        </w:numPr>
        <w:spacing w:line="360" w:before="105" w:after="105" w:lineRule="auto"/>
      </w:pPr>
      <w:hyperlink r:id="rId16">
        <w:r>
          <w:rPr>
            <w:rFonts w:eastAsia="helvetica neue" w:cs="helvetica neue" w:ascii="helvetica neue" w:hAnsi="helvetica neue"/>
            <w:color w:val="#000"/>
            <w:sz w:val="21"/>
            <w:u w:val="single"/>
          </w:rPr>
          <w:t xml:space="preserve">Leonardo / Uplift360 partnership announcement, 1 April 2026</w:t>
        </w:r>
      </w:hyperlink>
    </w:p>
    <w:p>
      <w:pPr>
        <w:numPr>
          <w:ilvl w:val="0"/>
          <w:numId w:val="6"/>
        </w:numPr>
        <w:spacing w:line="360" w:before="105" w:after="105" w:lineRule="auto"/>
      </w:pPr>
      <w:hyperlink r:id="rId17">
        <w:r>
          <w:rPr>
            <w:rFonts w:eastAsia="helvetica neue" w:cs="helvetica neue" w:ascii="helvetica neue" w:hAnsi="helvetica neue"/>
            <w:color w:val="#000"/>
            <w:sz w:val="21"/>
            <w:u w:val="single"/>
          </w:rPr>
          <w:t xml:space="preserve">Leonardo Helicopters supply-chain feature</w:t>
        </w:r>
      </w:hyperlink>
    </w:p>
    <w:p>
      <w:pPr>
        <w:numPr>
          <w:ilvl w:val="0"/>
          <w:numId w:val="6"/>
        </w:numPr>
        <w:spacing w:line="360" w:before="105" w:after="105" w:lineRule="auto"/>
      </w:pPr>
      <w:hyperlink r:id="rId18">
        <w:r>
          <w:rPr>
            <w:rFonts w:eastAsia="helvetica neue" w:cs="helvetica neue" w:ascii="helvetica neue" w:hAnsi="helvetica neue"/>
            <w:color w:val="#000"/>
            <w:sz w:val="21"/>
            <w:u w:val="single"/>
          </w:rPr>
          <w:t xml:space="preserve">USGS Mineral Commodity Summaries 2025 portal</w:t>
        </w:r>
      </w:hyperlink>
    </w:p>
    <w:p>
      <w:pPr>
        <w:numPr>
          <w:ilvl w:val="0"/>
          <w:numId w:val="6"/>
        </w:numPr>
        <w:spacing w:line="360" w:before="105" w:after="105" w:lineRule="auto"/>
      </w:pPr>
      <w:hyperlink r:id="rId19">
        <w:r>
          <w:rPr>
            <w:rFonts w:eastAsia="helvetica neue" w:cs="helvetica neue" w:ascii="helvetica neue" w:hAnsi="helvetica neue"/>
            <w:color w:val="#000"/>
            <w:sz w:val="21"/>
            <w:u w:val="single"/>
          </w:rPr>
          <w:t xml:space="preserve">USGS 2025 Antimony</w:t>
        </w:r>
      </w:hyperlink>
    </w:p>
    <w:p>
      <w:pPr>
        <w:numPr>
          <w:ilvl w:val="0"/>
          <w:numId w:val="6"/>
        </w:numPr>
        <w:spacing w:line="360" w:before="105" w:after="105" w:lineRule="auto"/>
      </w:pPr>
      <w:hyperlink r:id="rId20">
        <w:r>
          <w:rPr>
            <w:rFonts w:eastAsia="helvetica neue" w:cs="helvetica neue" w:ascii="helvetica neue" w:hAnsi="helvetica neue"/>
            <w:color w:val="#000"/>
            <w:sz w:val="21"/>
            <w:u w:val="single"/>
          </w:rPr>
          <w:t xml:space="preserve">USGS 2025 Cobalt</w:t>
        </w:r>
      </w:hyperlink>
    </w:p>
    <w:p>
      <w:pPr>
        <w:numPr>
          <w:ilvl w:val="0"/>
          <w:numId w:val="6"/>
        </w:numPr>
        <w:spacing w:line="360" w:before="105" w:after="105" w:lineRule="auto"/>
      </w:pPr>
      <w:hyperlink r:id="rId21">
        <w:r>
          <w:rPr>
            <w:rFonts w:eastAsia="helvetica neue" w:cs="helvetica neue" w:ascii="helvetica neue" w:hAnsi="helvetica neue"/>
            <w:color w:val="#000"/>
            <w:sz w:val="21"/>
            <w:u w:val="single"/>
          </w:rPr>
          <w:t xml:space="preserve">USGS 2025 Tungsten</w:t>
        </w:r>
      </w:hyperlink>
    </w:p>
    <w:p>
      <w:pPr>
        <w:numPr>
          <w:ilvl w:val="0"/>
          <w:numId w:val="6"/>
        </w:numPr>
        <w:spacing w:line="360" w:before="105" w:after="105" w:lineRule="auto"/>
      </w:pPr>
      <w:hyperlink r:id="rId22">
        <w:r>
          <w:rPr>
            <w:rFonts w:eastAsia="helvetica neue" w:cs="helvetica neue" w:ascii="helvetica neue" w:hAnsi="helvetica neue"/>
            <w:color w:val="#000"/>
            <w:sz w:val="21"/>
            <w:u w:val="single"/>
          </w:rPr>
          <w:t xml:space="preserve">USGS 2025 Rare Earths</w:t>
        </w:r>
      </w:hyperlink>
    </w:p>
    <w:p>
      <w:pPr>
        <w:numPr>
          <w:ilvl w:val="0"/>
          <w:numId w:val="6"/>
        </w:numPr>
        <w:spacing w:line="360" w:before="105" w:after="105" w:lineRule="auto"/>
      </w:pPr>
      <w:hyperlink r:id="rId23">
        <w:r>
          <w:rPr>
            <w:rFonts w:eastAsia="helvetica neue" w:cs="helvetica neue" w:ascii="helvetica neue" w:hAnsi="helvetica neue"/>
            <w:color w:val="#000"/>
            <w:sz w:val="21"/>
            <w:u w:val="single"/>
          </w:rPr>
          <w:t xml:space="preserve">Chinese Ministry of Commerce export controls, 3 December 2024</w:t>
        </w:r>
      </w:hyperlink>
    </w:p>
    <w:p>
      <w:pPr>
        <w:numPr>
          <w:ilvl w:val="0"/>
          <w:numId w:val="6"/>
        </w:numPr>
        <w:spacing w:line="360" w:before="105" w:after="105" w:lineRule="auto"/>
      </w:pPr>
      <w:hyperlink r:id="rId24">
        <w:r>
          <w:rPr>
            <w:rFonts w:eastAsia="helvetica neue" w:cs="helvetica neue" w:ascii="helvetica neue" w:hAnsi="helvetica neue"/>
            <w:color w:val="#000"/>
            <w:sz w:val="21"/>
            <w:u w:val="single"/>
          </w:rPr>
          <w:t xml:space="preserve">IEA The Role of Critical Minerals in Clean Energy Transitions, 2021</w:t>
        </w:r>
      </w:hyperlink>
    </w:p>
    <w:p>
      <w:pPr>
        <w:numPr>
          <w:ilvl w:val="0"/>
          <w:numId w:val="6"/>
        </w:numPr>
        <w:spacing w:line="360" w:before="105" w:after="105" w:lineRule="auto"/>
      </w:pPr>
      <w:hyperlink r:id="rId25">
        <w:r>
          <w:rPr>
            <w:rFonts w:eastAsia="helvetica neue" w:cs="helvetica neue" w:ascii="helvetica neue" w:hAnsi="helvetica neue"/>
            <w:color w:val="#000"/>
            <w:sz w:val="21"/>
            <w:u w:val="single"/>
          </w:rPr>
          <w:t xml:space="preserve">European Commission — Critical Raw Materials list</w:t>
        </w:r>
      </w:hyperlink>
    </w:p>
    <w:p>
      <w:pPr>
        <w:numPr>
          <w:ilvl w:val="0"/>
          <w:numId w:val="6"/>
        </w:numPr>
        <w:spacing w:line="360" w:before="105" w:after="105" w:lineRule="auto"/>
      </w:pPr>
      <w:hyperlink r:id="rId26">
        <w:r>
          <w:rPr>
            <w:rFonts w:eastAsia="helvetica neue" w:cs="helvetica neue" w:ascii="helvetica neue" w:hAnsi="helvetica neue"/>
            <w:color w:val="#000"/>
            <w:sz w:val="21"/>
            <w:u w:val="single"/>
          </w:rPr>
          <w:t xml:space="preserve">PAX / ICAN Don't Bank on the Bomb 2026</w:t>
        </w:r>
      </w:hyperlink>
    </w:p>
    <w:p>
      <w:pPr>
        <w:numPr>
          <w:ilvl w:val="0"/>
          <w:numId w:val="6"/>
        </w:numPr>
        <w:spacing w:line="360" w:before="105" w:after="105" w:lineRule="auto"/>
      </w:pPr>
      <w:hyperlink r:id="rId27">
        <w:r>
          <w:rPr>
            <w:rFonts w:eastAsia="helvetica neue" w:cs="helvetica neue" w:ascii="helvetica neue" w:hAnsi="helvetica neue"/>
            <w:color w:val="#000"/>
            <w:sz w:val="21"/>
            <w:u w:val="single"/>
          </w:rPr>
          <w:t xml:space="preserve">US Congressional Research Service R41347, US-China Rare Earths</w:t>
        </w:r>
      </w:hyperlink>
    </w:p>
    <w:sectPr>
      <w:pgSz w:w="12240" w:h="15840" w:orient="portrait"/>
      <w:pgMar w:top="1365" w:right="1365" w:bottom="1365" w:left="1365" w:header="720" w:footer="720" w:gutter="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georgia">
    <w:family w:val="auto"/>
    <w:pitch w:val="variable"/>
  </w:font>
  <w:font w:name="helvetica neue">
    <w:family w:val="auto"/>
    <w:pitch w:val="variable"/>
  </w:font>
</w:fonts>
</file>

<file path=word/numbering.xml><?xml version="1.0" encoding="utf-8"?>
<w:numbering xmlns:w="http://schemas.openxmlformats.org/wordprocessingml/2006/main"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ne="http://schemas.microsoft.com/office/word/2006/wordml">
  <w:abstractNum w:abstractNumId="1">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2">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3">
    <w:multiLevelType w:val="hybridMultilevel"/>
    <w:lvl w:ilvl="0">
      <w:start w:val="1"/>
      <w:numFmt w:val="decimal"/>
      <w:lvlText w:val="%1."/>
      <w:lvlJc w:val="left"/>
      <w:pPr>
        <w:tabs>
          <w:tab w:val="num" w:pos="900"/>
        </w:tabs>
        <w:ind w:left="540" w:hanging="360"/>
      </w:pPr>
    </w:lvl>
  </w:abstractNum>
  <w:abstractNum w:abstractNumId="4">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5">
    <w:multiLevelType w:val="hybridMultilevel"/>
    <w:lvl w:ilvl="0">
      <w:start w:val="1"/>
      <w:numFmt w:val="decimal"/>
      <w:lvlText w:val="%1."/>
      <w:lvlJc w:val="left"/>
      <w:pPr>
        <w:tabs>
          <w:tab w:val="num" w:pos="900"/>
        </w:tabs>
        <w:ind w:left="540" w:hanging="360"/>
      </w:pPr>
    </w:lvl>
  </w:abstractNum>
  <w:abstractNum w:abstractNumId="6">
    <w:multiLevelType w:val="hybridMultilevel"/>
    <w:lvl w:ilvl="0">
      <w:start w:val="1"/>
      <w:numFmt w:val="bullet"/>
      <w:lvlText w:val=""/>
      <w:lvlJc w:val="left"/>
      <w:pPr>
        <w:tabs>
          <w:tab w:val="num" w:pos="900"/>
        </w:tabs>
        <w:ind w:left="540" w:hanging="360"/>
      </w:pPr>
      <w:rPr>
        <w:rFonts w:ascii="Symbol" w:hAnsi="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Georgia" w:eastAsiaTheme="minorHAnsi" w:hAnsiTheme="minorHAnsi" w:cstheme="minorBidi"/>
        <w:sz w:val="21"/>
        <w:szCs w:val="22"/>
        <w:lang w:val="en-US" w:eastAsia="en-US" w:bidi="ar-SA"/>
      </w:rPr>
    </w:rPrDefault>
    <w:pPrDefault>
      <w:pPr>
        <w:spacing w:after="120" w:line="240" w:lineRule="atLeast"/>
      </w:pPr>
    </w:pPrDefault>
  </w:docDefaults>
  <w:style w:type="paragraph" w:default="1" w:styleId="Normal">
    <w:name w:val="Normal"/>
    <w:next w:val="Normal"/>
    <w:pPr/>
    <w:rPr>
      <w:rFonts w:ascii="Georgia" w:eastAsiaTheme="minorHAnsi" w:hAnsiTheme="minorHAnsi" w:cstheme="minorBidi"/>
      <w:sz w:val="21"/>
      <w:szCs w:val="22"/>
      <w:lang w:val="en-US" w:eastAsia="en-US" w:bidi="ar-SA"/>
    </w:rPr>
  </w:style>
  <w:style w:type="character" w:customStyle="1" w:styleId="VerbatimChar">
    <w:name w:val="Verbatim Char"/>
    <w:basedOn w:val="BodyTextChar"/>
    <w:rPr>
      <w:rFonts w:ascii="Consolas" w:hAnsi="Consolas"/>
      <w:sz w:val="22"/>
    </w:rPr>
  </w:style>
</w:styles>
</file>

<file path=word/webSettings.xml><?xml version="1.0" encoding="utf-8"?>
<w:webSetting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www.leonardo.com/en/sustainability/protecting-the-planet/crm4defence-project" TargetMode="External"/><Relationship Id="rId6" Type="http://schemas.openxmlformats.org/officeDocument/2006/relationships/hyperlink" Target="https://pubs.usgs.gov/periodicals/mcs2025/" TargetMode="External"/><Relationship Id="rId7" Type="http://schemas.openxmlformats.org/officeDocument/2006/relationships/hyperlink" Target="https://pubs.usgs.gov/periodicals/mcs2025/mcs2025-antimony.pdf" TargetMode="External"/><Relationship Id="rId8" Type="http://schemas.openxmlformats.org/officeDocument/2006/relationships/hyperlink" Target="https://pubs.usgs.gov/periodicals/mcs2025/mcs2025-cobalt.pdf" TargetMode="External"/><Relationship Id="rId9" Type="http://schemas.openxmlformats.org/officeDocument/2006/relationships/hyperlink" Target="https://pubs.usgs.gov/periodicals/mcs2025/mcs2025-tungsten.pdf" TargetMode="External"/><Relationship Id="rId10" Type="http://schemas.openxmlformats.org/officeDocument/2006/relationships/hyperlink" Target="http://www.mofcom.gov.cn/article/zwgk/gkzcfb/202412/20241203559046.shtml" TargetMode="External"/><Relationship Id="rId11" Type="http://schemas.openxmlformats.org/officeDocument/2006/relationships/hyperlink" Target="https://uk.leonardo.com/en/news-and-stories-detail/-/detail/leonardo-forms-partnership-with-uplift360" TargetMode="External"/><Relationship Id="rId12" Type="http://schemas.openxmlformats.org/officeDocument/2006/relationships/hyperlink" Target="https://iea.blob.core.windows.net/assets/ffd2a83b-8c30-4e9d-980a-52b6d9a86fdc/TheRoleofCriticalMineralsinCleanEnergyTransitions.pdf" TargetMode="External"/><Relationship Id="rId13" Type="http://schemas.openxmlformats.org/officeDocument/2006/relationships/hyperlink" Target="https://iea.blob.core.windows.net/assets/ffd2a83b-8c30-4e9d-980a-52b6d9a86fdc/TheRoleofCriticalMineralsinCleanEnergyTransitions.pdf" TargetMode="External"/><Relationship Id="rId14" Type="http://schemas.openxmlformats.org/officeDocument/2006/relationships/hyperlink" Target="https://www.dontbankonthebomb.com/" TargetMode="External"/><Relationship Id="rId15" Type="http://schemas.openxmlformats.org/officeDocument/2006/relationships/hyperlink" Target="https://www.leonardo.com/en/sustainability/protecting-the-planet/crm4defence-project" TargetMode="External"/><Relationship Id="rId16" Type="http://schemas.openxmlformats.org/officeDocument/2006/relationships/hyperlink" Target="https://uk.leonardo.com/en/news-and-stories-detail/-/detail/leonardo-forms-partnership-with-uplift360" TargetMode="External"/><Relationship Id="rId17" Type="http://schemas.openxmlformats.org/officeDocument/2006/relationships/hyperlink" Target="https://helicopters.leonardo.com/en/focus-detail/-/detail/logistics-feature" TargetMode="External"/><Relationship Id="rId18" Type="http://schemas.openxmlformats.org/officeDocument/2006/relationships/hyperlink" Target="https://pubs.usgs.gov/periodicals/mcs2025/" TargetMode="External"/><Relationship Id="rId19" Type="http://schemas.openxmlformats.org/officeDocument/2006/relationships/hyperlink" Target="https://pubs.usgs.gov/periodicals/mcs2025/mcs2025-antimony.pdf" TargetMode="External"/><Relationship Id="rId20" Type="http://schemas.openxmlformats.org/officeDocument/2006/relationships/hyperlink" Target="https://pubs.usgs.gov/periodicals/mcs2025/mcs2025-cobalt.pdf" TargetMode="External"/><Relationship Id="rId21" Type="http://schemas.openxmlformats.org/officeDocument/2006/relationships/hyperlink" Target="https://pubs.usgs.gov/periodicals/mcs2025/mcs2025-tungsten.pdf" TargetMode="External"/><Relationship Id="rId22" Type="http://schemas.openxmlformats.org/officeDocument/2006/relationships/hyperlink" Target="https://pubs.usgs.gov/periodicals/mcs2025/mcs2025-rare-earths.pdf" TargetMode="External"/><Relationship Id="rId23" Type="http://schemas.openxmlformats.org/officeDocument/2006/relationships/hyperlink" Target="http://www.mofcom.gov.cn/article/zwgk/gkzcfb/202412/20241203559046.shtml" TargetMode="External"/><Relationship Id="rId24" Type="http://schemas.openxmlformats.org/officeDocument/2006/relationships/hyperlink" Target="https://iea.blob.core.windows.net/assets/ffd2a83b-8c30-4e9d-980a-52b6d9a86fdc/TheRoleofCriticalMineralsinCleanEnergyTransitions.pdf" TargetMode="External"/><Relationship Id="rId25" Type="http://schemas.openxmlformats.org/officeDocument/2006/relationships/hyperlink" Target="https://single-market-economy.ec.europa.eu/sectors/raw-materials/areas-specific-interest/critical-raw-materials_en" TargetMode="External"/><Relationship Id="rId26" Type="http://schemas.openxmlformats.org/officeDocument/2006/relationships/hyperlink" Target="https://www.dontbankonthebomb.com/" TargetMode="External"/><Relationship Id="rId27" Type="http://schemas.openxmlformats.org/officeDocument/2006/relationships/hyperlink" Target="https://crsreports.congress.gov/product/pdf/R/R41347" TargetMode="External"/></Relationship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html-to-docx</cp:lastModifiedBy>
  <cp:revision>1</cp:revision>
  <dcterms:created xsi:type="dcterms:W3CDTF">2026-05-22T09:06:36.983Z</dcterms:created>
  <dcterms:modified xsi:type="dcterms:W3CDTF">2026-05-22T09:06:36.983Z</dcterms:modified>
</cp:coreProperties>
</file>